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770"/>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苏 州 政 府 采 购</w:t>
      </w:r>
      <w:r/>
    </w:p>
    <w:p>
      <w:pPr>
        <w:jc w:val="center"/>
        <w:spacing w:line="360" w:lineRule="auto"/>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left"/>
        <w:spacing w:line="48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321"/>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JSZC-320505-ZSYY-C2026-0003</w:t>
      </w:r>
      <w:r/>
    </w:p>
    <w:p>
      <w:pPr>
        <w:ind w:firstLine="321"/>
        <w:jc w:val="left"/>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w:t>
      </w:r>
      <w:r>
        <w:rPr>
          <w:rFonts w:hint="eastAsia" w:ascii="宋体" w:hAnsi="宋体" w:cs="宋体"/>
          <w:b/>
          <w:color w:val="auto"/>
          <w:sz w:val="32"/>
          <w:highlight w:val="none"/>
          <w:lang w:eastAsia="zh-CN"/>
        </w:rPr>
        <w:t xml:space="preserve">苏州高新区(虎丘区)东渚街道办事处</w:t>
      </w:r>
      <w:r/>
    </w:p>
    <w:p>
      <w:pPr>
        <w:ind w:firstLine="321"/>
        <w:jc w:val="left"/>
        <w:spacing w:line="360" w:lineRule="auto"/>
        <w:rPr>
          <w:rFonts w:hint="eastAsia" w:ascii="宋体" w:hAnsi="宋体" w:cs="宋体"/>
          <w:b/>
          <w:color w:val="auto"/>
          <w:sz w:val="32"/>
          <w:highlight w:val="none"/>
          <w:lang w:eastAsia="zh-CN"/>
        </w:rPr>
      </w:pPr>
      <w:r>
        <w:rPr>
          <w:rFonts w:hint="eastAsia" w:ascii="宋体" w:hAnsi="宋体" w:eastAsia="宋体" w:cs="宋体"/>
          <w:b/>
          <w:color w:val="auto"/>
          <w:sz w:val="32"/>
          <w:highlight w:val="none"/>
        </w:rPr>
        <w:t xml:space="preserve">项目名称：</w:t>
      </w:r>
      <w:r>
        <w:rPr>
          <w:rFonts w:hint="eastAsia" w:ascii="宋体" w:hAnsi="宋体" w:cs="宋体"/>
          <w:b/>
          <w:color w:val="auto"/>
          <w:sz w:val="32"/>
          <w:highlight w:val="none"/>
          <w:lang w:eastAsia="zh-CN"/>
        </w:rPr>
        <w:t xml:space="preserve">东渚街道2026-2028年度社区居家养老服务设施社会化运营 </w:t>
      </w:r>
      <w:r/>
    </w:p>
    <w:p>
      <w:pPr>
        <w:ind w:firstLine="321"/>
        <w:jc w:val="left"/>
        <w:spacing w:line="360" w:lineRule="auto"/>
        <w:rPr>
          <w:rFonts w:hint="eastAsia" w:ascii="宋体" w:hAnsi="宋体" w:cs="宋体"/>
          <w:b/>
          <w:color w:val="auto"/>
          <w:spacing w:val="20"/>
          <w:sz w:val="32"/>
          <w:highlight w:val="none"/>
        </w:rPr>
      </w:pPr>
      <w:r>
        <w:rPr>
          <w:rFonts w:hint="eastAsia" w:ascii="宋体" w:hAnsi="宋体" w:eastAsia="宋体" w:cs="宋体"/>
          <w:b/>
          <w:color w:val="auto"/>
          <w:sz w:val="32"/>
          <w:highlight w:val="none"/>
        </w:rPr>
        <w:t xml:space="preserve">项目类别：</w:t>
      </w:r>
      <w:r>
        <w:rPr>
          <w:rFonts w:hint="eastAsia" w:ascii="宋体" w:hAnsi="宋体" w:eastAsia="宋体" w:cs="宋体"/>
          <w:b/>
          <w:color w:val="auto"/>
          <w:spacing w:val="20"/>
          <w:sz w:val="32"/>
          <w:highlight w:val="none"/>
        </w:rPr>
        <w:t xml:space="preserve">服务类</w:t>
      </w:r>
      <w:r/>
    </w:p>
    <w:p>
      <w:pPr>
        <w:jc w:val="center"/>
        <w:rPr>
          <w:rFonts w:hint="eastAsia" w:ascii="宋体" w:hAnsi="宋体" w:cs="宋体"/>
          <w:b/>
          <w:color w:val="auto"/>
          <w:sz w:val="32"/>
          <w:highlight w:val="none"/>
        </w:rPr>
      </w:pPr>
      <w:r>
        <w:rPr>
          <w:rFonts w:hint="eastAsia" w:ascii="宋体" w:hAnsi="宋体" w:cs="宋体"/>
          <w:b/>
          <w:color w:val="auto"/>
          <w:sz w:val="32"/>
          <w:highlight w:val="none"/>
        </w:rPr>
      </w:r>
      <w:r/>
    </w:p>
    <w:p>
      <w:pPr>
        <w:ind w:firstLine="3534"/>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pStyle w:val="770"/>
        <w:rPr>
          <w:rFonts w:hint="eastAsia" w:ascii="宋体" w:hAnsi="宋体" w:cs="宋体"/>
          <w:b/>
          <w:color w:val="auto"/>
          <w:sz w:val="32"/>
          <w:highlight w:val="none"/>
        </w:rPr>
      </w:pPr>
      <w:r>
        <w:rPr>
          <w:rFonts w:hint="eastAsia" w:ascii="宋体" w:hAnsi="宋体" w:cs="宋体"/>
          <w:b/>
          <w:color w:val="auto"/>
          <w:sz w:val="32"/>
          <w:highlight w:val="none"/>
        </w:rPr>
      </w:r>
      <w:r/>
    </w:p>
    <w:p>
      <w:pPr>
        <w:pStyle w:val="770"/>
        <w:rPr>
          <w:rFonts w:hint="eastAsia" w:ascii="宋体" w:hAnsi="宋体" w:cs="宋体"/>
          <w:b/>
          <w:color w:val="auto"/>
          <w:sz w:val="32"/>
          <w:highlight w:val="none"/>
        </w:rPr>
      </w:pPr>
      <w:r>
        <w:rPr>
          <w:rFonts w:hint="eastAsia" w:ascii="宋体" w:hAnsi="宋体" w:cs="宋体"/>
          <w:b/>
          <w:color w:val="auto"/>
          <w:sz w:val="32"/>
          <w:highlight w:val="none"/>
        </w:rPr>
      </w:r>
      <w:r/>
    </w:p>
    <w:p>
      <w:pPr>
        <w:pStyle w:val="770"/>
        <w:rPr>
          <w:rFonts w:hint="eastAsia" w:ascii="宋体" w:hAnsi="宋体" w:cs="宋体"/>
          <w:b/>
          <w:color w:val="auto"/>
          <w:sz w:val="32"/>
          <w:highlight w:val="none"/>
        </w:rPr>
      </w:pPr>
      <w:r>
        <w:rPr>
          <w:rFonts w:hint="eastAsia" w:ascii="宋体" w:hAnsi="宋体" w:cs="宋体"/>
          <w:b/>
          <w:color w:val="auto"/>
          <w:sz w:val="32"/>
          <w:highlight w:val="none"/>
        </w:rPr>
      </w:r>
      <w:r/>
    </w:p>
    <w:p>
      <w:pPr>
        <w:pStyle w:val="770"/>
        <w:rPr>
          <w:rFonts w:hint="eastAsia" w:ascii="宋体" w:hAnsi="宋体" w:cs="宋体"/>
          <w:b/>
          <w:color w:val="auto"/>
          <w:sz w:val="32"/>
          <w:highlight w:val="none"/>
        </w:rPr>
      </w:pPr>
      <w:r>
        <w:rPr>
          <w:rFonts w:hint="eastAsia" w:ascii="宋体" w:hAnsi="宋体" w:cs="宋体"/>
          <w:b/>
          <w:color w:val="auto"/>
          <w:sz w:val="32"/>
          <w:highlight w:val="none"/>
        </w:rPr>
      </w:r>
      <w:r/>
    </w:p>
    <w:p>
      <w:pPr>
        <w:pStyle w:val="770"/>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cs="宋体"/>
          <w:b/>
          <w:color w:val="auto"/>
          <w:sz w:val="32"/>
          <w:highlight w:val="none"/>
          <w:lang w:eastAsia="zh-CN"/>
        </w:rPr>
        <w:t xml:space="preserve">苏州中苏御源工程咨询有限公司</w:t>
      </w:r>
      <w:r/>
    </w:p>
    <w:p>
      <w:pPr>
        <w:jc w:val="center"/>
        <w:spacing w:line="360" w:lineRule="auto"/>
        <w:rPr>
          <w:rFonts w:hint="eastAsia" w:ascii="宋体" w:hAnsi="宋体" w:cs="宋体"/>
          <w:b/>
          <w:color w:val="auto"/>
          <w:sz w:val="32"/>
          <w:highlight w:val="none"/>
        </w:rPr>
      </w:pPr>
      <w:r>
        <w:rPr>
          <w:rFonts w:hint="eastAsia" w:ascii="宋体" w:hAnsi="宋体" w:eastAsia="宋体" w:cs="宋体"/>
          <w:b/>
          <w:color w:val="auto"/>
          <w:sz w:val="32"/>
          <w:highlight w:val="none"/>
        </w:rPr>
        <w:t xml:space="preserve">二○二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月</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tabs>
          <w:tab w:val="left" w:pos="315" w:leader="none"/>
          <w:tab w:val="center" w:pos="4153" w:leader="none"/>
        </w:tabs>
        <w:rPr>
          <w:rFonts w:hint="eastAsia" w:ascii="宋体" w:hAnsi="宋体" w:cs="宋体"/>
          <w:b/>
          <w:color w:val="auto"/>
          <w:sz w:val="52"/>
          <w:szCs w:val="52"/>
          <w:highlight w:val="none"/>
        </w:rPr>
        <w:sectPr>
          <w:headerReference w:type="even" r:id="rId9"/>
          <w:footerReference w:type="even" r:id="rId11"/>
          <w:footnotePr/>
          <w:endnotePr/>
          <w:type w:val="nextPage"/>
          <w:pgSz w:w="11906" w:h="16838" w:orient="portrait"/>
          <w:pgMar w:top="1043" w:right="1077" w:bottom="1043" w:left="1157" w:header="851" w:footer="992" w:gutter="0"/>
          <w:pgNumType w:start="1"/>
          <w:cols w:num="1" w:sep="0" w:space="1701" w:equalWidth="1"/>
          <w:docGrid w:linePitch="360"/>
          <w:titlePg/>
        </w:sectPr>
      </w:pPr>
      <w:r>
        <w:rPr>
          <w:rFonts w:hint="eastAsia" w:ascii="宋体" w:hAnsi="宋体" w:cs="宋体"/>
          <w:b/>
          <w:color w:val="auto"/>
          <w:sz w:val="52"/>
          <w:szCs w:val="52"/>
          <w:highlight w:val="none"/>
        </w:rPr>
      </w:r>
      <w:r/>
    </w:p>
    <w:p>
      <w:pPr>
        <w:jc w:val="center"/>
        <w:spacing w:line="360" w:lineRule="auto"/>
        <w:rPr>
          <w:rFonts w:hint="eastAsia" w:ascii="宋体" w:hAnsi="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pStyle w:val="711"/>
        <w:spacing w:line="360" w:lineRule="auto"/>
        <w:tabs>
          <w:tab w:val="right" w:pos="9209" w:leader="dot"/>
        </w:tabs>
        <w:rPr>
          <w:rStyle w:val="964"/>
          <w:rFonts w:hint="eastAsia" w:ascii="宋体" w:hAnsi="宋体" w:cs="宋体"/>
          <w:b w:val="0"/>
          <w:bCs w:val="0"/>
          <w:color w:val="auto"/>
          <w:highlight w:val="none"/>
        </w:rPr>
      </w:pPr>
      <w:r>
        <w:rPr>
          <w:rFonts w:hint="eastAsia" w:ascii="宋体" w:hAnsi="宋体" w:cs="宋体"/>
          <w:b w:val="0"/>
          <w:bCs w:val="0"/>
          <w:color w:val="auto"/>
          <w:highlight w:val="none"/>
        </w:rPr>
      </w:r>
      <w:r/>
    </w:p>
    <w:p>
      <w:pPr>
        <w:pStyle w:val="711"/>
        <w:spacing w:line="360" w:lineRule="auto"/>
        <w:tabs>
          <w:tab w:val="right" w:pos="9209" w:leader="dot"/>
        </w:tabs>
        <w:rPr>
          <w:rFonts w:hint="eastAsia" w:ascii="宋体" w:hAnsi="宋体" w:cs="宋体"/>
          <w:color w:val="auto"/>
          <w:sz w:val="28"/>
          <w:szCs w:val="28"/>
          <w:highlight w:val="none"/>
        </w:rPr>
      </w:pPr>
      <w:r>
        <w:rPr>
          <w:rStyle w:val="964"/>
          <w:rFonts w:hint="eastAsia" w:ascii="宋体" w:hAnsi="宋体" w:cs="宋体"/>
          <w:b w:val="0"/>
          <w:bCs w:val="0"/>
          <w:color w:val="auto"/>
          <w:highlight w:val="none"/>
        </w:rPr>
        <w:fldChar w:fldCharType="begin"/>
      </w:r>
      <w:r>
        <w:rPr>
          <w:rStyle w:val="964"/>
          <w:rFonts w:hint="eastAsia" w:ascii="宋体" w:hAnsi="宋体" w:cs="宋体"/>
          <w:b w:val="0"/>
          <w:bCs w:val="0"/>
          <w:color w:val="auto"/>
          <w:sz w:val="28"/>
          <w:szCs w:val="28"/>
          <w:highlight w:val="none"/>
        </w:rPr>
        <w:instrText xml:space="preserve">TOC \o "1-1" \h \u </w:instrText>
      </w:r>
      <w:r>
        <w:rPr>
          <w:rStyle w:val="964"/>
          <w:rFonts w:hint="eastAsia" w:ascii="宋体" w:hAnsi="宋体" w:cs="宋体"/>
          <w:b w:val="0"/>
          <w:bCs w:val="0"/>
          <w:color w:val="auto"/>
          <w:highlight w:val="none"/>
        </w:rPr>
        <w:fldChar w:fldCharType="separate"/>
      </w:r>
      <w:r>
        <w:rPr>
          <w:color w:val="auto"/>
          <w:highlight w:val="none"/>
        </w:rPr>
        <w:fldChar w:fldCharType="begin"/>
      </w:r>
      <w:r>
        <w:rPr>
          <w:color w:val="auto"/>
          <w:highlight w:val="none"/>
        </w:rPr>
        <w:instrText xml:space="preserve"> HYPERLINK \l "_Toc197425368" \o "#_Toc197425368" </w:instrText>
      </w:r>
      <w:r>
        <w:rPr>
          <w:color w:val="auto"/>
          <w:highlight w:val="none"/>
        </w:rPr>
        <w:fldChar w:fldCharType="separate"/>
      </w:r>
      <w:r>
        <w:rPr>
          <w:rStyle w:val="729"/>
          <w:rFonts w:hint="eastAsia" w:ascii="宋体" w:hAnsi="宋体" w:eastAsia="宋体" w:cs="宋体"/>
          <w:color w:val="auto"/>
          <w:sz w:val="28"/>
          <w:szCs w:val="28"/>
          <w:highlight w:val="none"/>
        </w:rPr>
        <w:t xml:space="preserve">第一章  磋商</w:t>
      </w:r>
      <w:r>
        <w:rPr>
          <w:rStyle w:val="729"/>
          <w:rFonts w:hint="eastAsia" w:ascii="宋体" w:hAnsi="宋体" w:cs="宋体"/>
          <w:color w:val="auto"/>
          <w:sz w:val="28"/>
          <w:szCs w:val="28"/>
          <w:highlight w:val="none"/>
          <w:lang w:val="en-US" w:eastAsia="zh-CN"/>
        </w:rPr>
        <w:t xml:space="preserve">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_Toc197425368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1"/>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"_Toc197425369" \o "#_Toc197425369" </w:instrText>
      </w:r>
      <w:r>
        <w:rPr>
          <w:color w:val="auto"/>
          <w:highlight w:val="none"/>
        </w:rPr>
        <w:fldChar w:fldCharType="separate"/>
      </w:r>
      <w:r>
        <w:rPr>
          <w:rStyle w:val="729"/>
          <w:rFonts w:hint="eastAsia" w:ascii="宋体" w:hAnsi="宋体" w:eastAsia="宋体" w:cs="宋体"/>
          <w:color w:val="auto"/>
          <w:sz w:val="28"/>
          <w:szCs w:val="28"/>
          <w:highlight w:val="none"/>
        </w:rPr>
        <w:t xml:space="preserve">第二章  磋商须知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_Toc197425369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1"/>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"_Toc197425370" \o "#_Toc197425370" </w:instrText>
      </w:r>
      <w:r>
        <w:rPr>
          <w:color w:val="auto"/>
          <w:highlight w:val="none"/>
        </w:rPr>
        <w:fldChar w:fldCharType="separate"/>
      </w:r>
      <w:r>
        <w:rPr>
          <w:rStyle w:val="729"/>
          <w:rFonts w:hint="eastAsia" w:ascii="宋体" w:hAnsi="宋体" w:eastAsia="宋体" w:cs="宋体"/>
          <w:color w:val="auto"/>
          <w:sz w:val="28"/>
          <w:szCs w:val="28"/>
          <w:highlight w:val="none"/>
        </w:rPr>
        <w:t xml:space="preserve">第三章  磋商响应文件格式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_Toc197425370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21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1"/>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"_Toc197425371" \o "#_Toc197425371" </w:instrText>
      </w:r>
      <w:r>
        <w:rPr>
          <w:color w:val="auto"/>
          <w:highlight w:val="none"/>
        </w:rPr>
        <w:fldChar w:fldCharType="separate"/>
      </w:r>
      <w:r>
        <w:rPr>
          <w:rStyle w:val="729"/>
          <w:rFonts w:hint="eastAsia" w:ascii="宋体" w:hAnsi="宋体" w:eastAsia="宋体" w:cs="宋体"/>
          <w:color w:val="auto"/>
          <w:sz w:val="28"/>
          <w:szCs w:val="28"/>
          <w:highlight w:val="none"/>
        </w:rPr>
        <w:t xml:space="preserve">第四章  采购内容</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_Toc197425371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37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1"/>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"_Toc197425372" \o "#_Toc197425372" </w:instrText>
      </w:r>
      <w:r>
        <w:rPr>
          <w:color w:val="auto"/>
          <w:highlight w:val="none"/>
        </w:rPr>
        <w:fldChar w:fldCharType="separate"/>
      </w:r>
      <w:r>
        <w:rPr>
          <w:rStyle w:val="729"/>
          <w:rFonts w:hint="eastAsia" w:ascii="宋体" w:hAnsi="宋体" w:eastAsia="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_Toc197425372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45</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711"/>
        <w:spacing w:line="360" w:lineRule="auto"/>
        <w:tabs>
          <w:tab w:val="right" w:pos="920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"_Toc197425373" \o "#_Toc197425373" </w:instrText>
      </w:r>
      <w:r>
        <w:rPr>
          <w:color w:val="auto"/>
          <w:highlight w:val="none"/>
        </w:rPr>
        <w:fldChar w:fldCharType="separate"/>
      </w:r>
      <w:r>
        <w:rPr>
          <w:rStyle w:val="729"/>
          <w:rFonts w:hint="eastAsia" w:ascii="宋体" w:hAnsi="宋体" w:eastAsia="宋体" w:cs="宋体"/>
          <w:color w:val="auto"/>
          <w:sz w:val="28"/>
          <w:szCs w:val="28"/>
          <w:highlight w:val="none"/>
        </w:rPr>
        <w:t xml:space="preserve">第六章  评审办法及评分标准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w:instrText>
      </w:r>
      <w:r>
        <w:rPr>
          <w:rFonts w:ascii="宋体" w:hAnsi="宋体" w:cs="宋体"/>
          <w:color w:val="auto"/>
          <w:sz w:val="28"/>
          <w:szCs w:val="28"/>
          <w:highlight w:val="none"/>
        </w:rPr>
        <w:instrText xml:space="preserve">PAGEREF _Toc197425373 \h</w:instrText>
      </w:r>
      <w:r>
        <w:rPr>
          <w:rFonts w:hint="eastAsia" w:ascii="宋体" w:hAnsi="宋体" w:cs="宋体"/>
          <w:color w:val="auto"/>
          <w:sz w:val="28"/>
          <w:szCs w:val="28"/>
          <w:highlight w:val="none"/>
        </w:rPr>
        <w:instrText xml:space="preserve"> </w:instrText>
      </w:r>
      <w:r>
        <w:rPr>
          <w:rFonts w:hint="eastAsia" w:ascii="宋体" w:hAnsi="宋体" w:cs="宋体"/>
          <w:color w:val="auto"/>
          <w:sz w:val="28"/>
          <w:szCs w:val="28"/>
          <w:highlight w:val="none"/>
        </w:rPr>
        <w:fldChar w:fldCharType="separate"/>
      </w:r>
      <w:r>
        <w:rPr>
          <w:rFonts w:ascii="宋体" w:hAnsi="宋体" w:cs="宋体"/>
          <w:color w:val="auto"/>
          <w:sz w:val="28"/>
          <w:szCs w:val="28"/>
          <w:highlight w:val="none"/>
        </w:rPr>
        <w:t xml:space="preserve">51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60"/>
        <w:jc w:val="both"/>
        <w:spacing w:line="360" w:lineRule="auto"/>
        <w:rPr>
          <w:rFonts w:hint="eastAsia" w:ascii="宋体" w:hAnsi="宋体" w:cs="宋体"/>
          <w:color w:val="auto"/>
          <w:highlight w:val="none"/>
        </w:rPr>
      </w:pPr>
      <w:r>
        <w:rPr>
          <w:rFonts w:hint="eastAsia" w:ascii="宋体" w:hAnsi="宋体" w:cs="宋体"/>
          <w:color w:val="auto"/>
          <w:sz w:val="28"/>
          <w:szCs w:val="28"/>
          <w:highlight w:val="none"/>
        </w:rPr>
        <w:fldChar w:fldCharType="end"/>
      </w:r>
      <w:r/>
    </w:p>
    <w:p>
      <w:pPr>
        <w:jc w:val="center"/>
        <w:spacing w:line="360" w:lineRule="auto"/>
        <w:rPr>
          <w:rFonts w:hint="eastAsia" w:ascii="宋体" w:hAnsi="宋体" w:eastAsia="宋体" w:cs="宋体"/>
          <w:color w:val="auto"/>
          <w:sz w:val="32"/>
          <w:szCs w:val="32"/>
          <w:highlight w:val="none"/>
        </w:rPr>
        <w:outlineLvl w:val="0"/>
      </w:pPr>
      <w:r>
        <w:rPr>
          <w:rFonts w:hint="eastAsia" w:ascii="宋体" w:hAnsi="宋体" w:cs="宋体"/>
          <w:color w:val="auto"/>
          <w:szCs w:val="21"/>
          <w:highlight w:val="none"/>
        </w:rPr>
        <w:br w:type="page" w:clear="all"/>
      </w:r>
      <w:bookmarkStart w:id="0" w:name="_Toc197425368"/>
      <w:r>
        <w:rPr>
          <w:rStyle w:val="964"/>
          <w:rFonts w:hint="eastAsia" w:ascii="宋体" w:hAnsi="宋体" w:eastAsia="宋体" w:cs="宋体"/>
          <w:color w:val="auto"/>
          <w:sz w:val="32"/>
          <w:szCs w:val="32"/>
          <w:highlight w:val="none"/>
        </w:rPr>
        <w:t xml:space="preserve">第一章  磋商</w:t>
      </w:r>
      <w:bookmarkEnd w:id="0"/>
      <w:r>
        <w:rPr>
          <w:rStyle w:val="964"/>
          <w:rFonts w:hint="eastAsia" w:ascii="宋体" w:hAnsi="宋体" w:cs="宋体"/>
          <w:color w:val="auto"/>
          <w:sz w:val="32"/>
          <w:szCs w:val="32"/>
          <w:highlight w:val="none"/>
          <w:lang w:val="en-US" w:eastAsia="zh-CN"/>
        </w:rPr>
        <w:t xml:space="preserve">公告</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40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东渚街道2026-2028年度社区居家养老服务设施社会化运营</w:t>
      </w:r>
      <w:r>
        <w:rPr>
          <w:rFonts w:hint="eastAsia" w:ascii="宋体" w:hAnsi="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color w:val="auto"/>
          <w:sz w:val="24"/>
          <w:szCs w:val="24"/>
          <w:highlight w:val="none"/>
          <w:u w:val="single"/>
        </w:rPr>
        <w:t xml:space="preserve">苏采云</w:t>
      </w:r>
      <w:r>
        <w:rPr>
          <w:rFonts w:hint="eastAsia" w:ascii="宋体" w:hAnsi="宋体" w:eastAsia="宋体" w:cs="宋体"/>
          <w:color w:val="auto"/>
          <w:sz w:val="24"/>
          <w:szCs w:val="24"/>
          <w:highlight w:val="none"/>
        </w:rPr>
        <w:t xml:space="preserve">系统获取采购文件，并于</w:t>
      </w:r>
      <w:r>
        <w:rPr>
          <w:rFonts w:hint="eastAsia" w:ascii="仿宋" w:hAnsi="仿宋" w:eastAsia="仿宋" w:cs="仿宋"/>
          <w:color w:val="auto"/>
          <w:sz w:val="28"/>
          <w:highlight w:val="none"/>
          <w:lang w:val="en-US" w:eastAsia="zh-CN"/>
        </w:rPr>
        <w:t xml:space="preserve">2026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25</w:t>
      </w:r>
      <w:r>
        <w:rPr>
          <w:rFonts w:ascii="仿宋" w:hAnsi="仿宋" w:eastAsia="仿宋" w:cs="仿宋"/>
          <w:color w:val="auto"/>
          <w:sz w:val="28"/>
          <w:highlight w:val="none"/>
        </w:rPr>
        <w:t xml:space="preserve"> </w:t>
      </w:r>
      <w:r>
        <w:rPr>
          <w:rFonts w:ascii="仿宋" w:hAnsi="仿宋" w:eastAsia="仿宋" w:cs="仿宋"/>
          <w:color w:val="auto"/>
          <w:sz w:val="28"/>
          <w:highlight w:val="none"/>
        </w:rPr>
        <w:t xml:space="preserve">09</w:t>
      </w:r>
      <w:r>
        <w:rPr>
          <w:rFonts w:ascii="仿宋" w:hAnsi="仿宋" w:eastAsia="仿宋" w:cs="仿宋"/>
          <w:color w:val="auto"/>
          <w:sz w:val="28"/>
          <w:highlight w:val="none"/>
        </w:rPr>
        <w:t xml:space="preserve">:30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color w:val="auto"/>
          <w:highlight w:val="none"/>
        </w:rPr>
      </w:pPr>
      <w:r>
        <w:rPr>
          <w:color w:val="auto"/>
          <w:highlight w:val="none"/>
        </w:rPr>
      </w:r>
      <w:r/>
    </w:p>
    <w:p>
      <w:pPr>
        <w:ind w:firstLine="482"/>
        <w:spacing w:line="360" w:lineRule="auto"/>
        <w:rPr>
          <w:color w:val="auto"/>
          <w:highlight w:val="none"/>
        </w:rPr>
      </w:pPr>
      <w:r/>
      <w:bookmarkStart w:id="1" w:name="_Toc35393621"/>
      <w:r/>
      <w:bookmarkStart w:id="2" w:name="_Toc28359079"/>
      <w:r/>
      <w:bookmarkStart w:id="3" w:name="_Hlk24379207"/>
      <w:r/>
      <w:bookmarkStart w:id="4" w:name="_Toc28359002"/>
      <w:r/>
      <w:bookmarkStart w:id="5" w:name="_Toc35393790"/>
      <w:r>
        <w:rPr>
          <w:rFonts w:hint="eastAsia" w:ascii="宋体" w:hAnsi="宋体" w:eastAsia="宋体" w:cs="宋体"/>
          <w:b/>
          <w:color w:val="auto"/>
          <w:sz w:val="24"/>
          <w:szCs w:val="24"/>
          <w:highlight w:val="none"/>
        </w:rPr>
        <w:t xml:space="preserve">一、项目基本情况</w:t>
      </w:r>
      <w:bookmarkEnd w:id="1"/>
      <w:r/>
      <w:bookmarkEnd w:id="2"/>
      <w:r/>
      <w:bookmarkEnd w:id="3"/>
      <w:r/>
      <w:bookmarkEnd w:id="4"/>
      <w:r/>
      <w:bookmarkEnd w:id="5"/>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JSZC-320505-ZSYY-C2026-0003</w:t>
      </w:r>
      <w:r/>
    </w:p>
    <w:p>
      <w:pPr>
        <w:ind w:firstLine="480"/>
        <w:spacing w:line="360" w:lineRule="auto"/>
        <w:tabs>
          <w:tab w:val="left" w:pos="7088" w:leader="none"/>
        </w:tabs>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东渚街道2026-2028年度社区居家养老服务设施社会化运营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color w:val="auto"/>
          <w:highlight w:val="none"/>
        </w:rPr>
        <w:tab/>
      </w:r>
      <w:r/>
    </w:p>
    <w:p>
      <w:pPr>
        <w:ind w:left="0" w:right="0" w:firstLine="480"/>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预算金额：人民币</w:t>
      </w:r>
      <w:r>
        <w:rPr>
          <w:rFonts w:hint="eastAsia" w:ascii="宋体" w:hAnsi="宋体" w:cs="宋体"/>
          <w:color w:val="auto"/>
          <w:sz w:val="24"/>
          <w:szCs w:val="24"/>
          <w:highlight w:val="none"/>
          <w:lang w:val="en-US" w:eastAsia="zh-CN"/>
        </w:rPr>
        <w:t xml:space="preserve">贰佰零贰万零捌佰元整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2020800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rPr>
        <w:t xml:space="preserve">）</w:t>
      </w:r>
      <w:r/>
    </w:p>
    <w:p>
      <w:pPr>
        <w:pStyle w:val="693"/>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一标段</w:t>
      </w:r>
      <w:r>
        <w:rPr>
          <w:rFonts w:hint="eastAsia" w:ascii="宋体" w:hAnsi="宋体" w:cs="宋体"/>
          <w:color w:val="auto"/>
          <w:sz w:val="24"/>
          <w:szCs w:val="22"/>
          <w:highlight w:val="none"/>
          <w:lang w:val="en-US" w:eastAsia="zh-CN"/>
        </w:rPr>
        <w:t xml:space="preserve">人民币柒拾捌万贰仟肆佰元整（¥782400.00元）</w:t>
      </w:r>
      <w:r/>
    </w:p>
    <w:p>
      <w:pPr>
        <w:pStyle w:val="693"/>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二标段人民币壹佰贰拾叁万捌仟肆佰元整（</w:t>
      </w:r>
      <w:r>
        <w:rPr>
          <w:rFonts w:hint="eastAsia" w:ascii="宋体" w:hAnsi="宋体" w:cs="宋体"/>
          <w:color w:val="auto"/>
          <w:sz w:val="24"/>
          <w:szCs w:val="22"/>
          <w:highlight w:val="none"/>
          <w:lang w:val="en-US" w:eastAsia="zh-CN"/>
        </w:rPr>
        <w:t xml:space="preserve">¥1238400.00元</w:t>
      </w:r>
      <w:r>
        <w:rPr>
          <w:rFonts w:hint="eastAsia" w:ascii="宋体" w:hAnsi="宋体" w:cs="宋体"/>
          <w:color w:val="auto"/>
          <w:sz w:val="24"/>
          <w:highlight w:val="none"/>
          <w:lang w:val="en-US" w:eastAsia="zh-CN"/>
        </w:rPr>
        <w:t xml:space="preserve">）</w:t>
      </w:r>
      <w:r/>
    </w:p>
    <w:p>
      <w:pPr>
        <w:ind w:left="0" w:right="0" w:firstLine="480"/>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人民币贰佰零贰万零捌佰元整（¥202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800.00</w:t>
      </w:r>
      <w:r>
        <w:rPr>
          <w:rFonts w:hint="eastAsia" w:ascii="宋体" w:hAnsi="宋体" w:cs="宋体"/>
          <w:color w:val="auto"/>
          <w:sz w:val="24"/>
          <w:szCs w:val="24"/>
          <w:highlight w:val="none"/>
          <w:lang w:val="en-US" w:eastAsia="zh-CN"/>
        </w:rPr>
        <w:t xml:space="preserve">元</w:t>
      </w:r>
      <w:r>
        <w:rPr>
          <w:rFonts w:hint="eastAsia" w:ascii="宋体" w:hAnsi="宋体" w:cs="宋体"/>
          <w:color w:val="auto"/>
          <w:sz w:val="24"/>
          <w:szCs w:val="24"/>
          <w:highlight w:val="none"/>
          <w:lang w:eastAsia="zh-CN"/>
        </w:rPr>
        <w:t xml:space="preserve">）</w:t>
      </w:r>
      <w:r/>
    </w:p>
    <w:p>
      <w:pPr>
        <w:ind w:firstLine="1027"/>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一标段人民币柒拾捌万贰仟肆佰元整（¥782400.00元）</w:t>
      </w:r>
      <w:r/>
    </w:p>
    <w:p>
      <w:pPr>
        <w:ind w:firstLine="1027"/>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二标段人民币壹佰贰拾叁万捌仟肆佰元整（¥1238400.00元）</w:t>
      </w:r>
      <w:r/>
    </w:p>
    <w:p>
      <w:pPr>
        <w:ind w:firstLine="482"/>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东渚街道2026-2028年度社区居家养老服务设施社会化运营 </w:t>
      </w:r>
      <w:r>
        <w:rPr>
          <w:rFonts w:hint="eastAsia" w:ascii="宋体" w:hAnsi="宋体" w:eastAsia="宋体" w:cs="宋体"/>
          <w:color w:val="auto"/>
          <w:sz w:val="24"/>
          <w:szCs w:val="24"/>
          <w:highlight w:val="none"/>
        </w:rPr>
        <w:t xml:space="preserve">，具体详见采购文件第四章。</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2026年7月-2028年6月（具体实施时间以采购方通知为准）</w:t>
      </w:r>
      <w:r>
        <w:rPr>
          <w:rFonts w:hint="eastAsia" w:ascii="宋体" w:hAnsi="宋体" w:eastAsia="宋体" w:cs="宋体"/>
          <w:color w:val="auto"/>
          <w:sz w:val="24"/>
          <w:szCs w:val="24"/>
          <w:highlight w:val="none"/>
        </w:rPr>
        <w:t xml:space="preserve">。</w:t>
      </w:r>
      <w:r/>
    </w:p>
    <w:p>
      <w:pPr>
        <w:numPr>
          <w:ilvl w:val="0"/>
          <w:numId w:val="1"/>
        </w:numPr>
        <w:ind w:firstLine="482"/>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分标段采购项目标段划分及中标原则</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（1）本次招标项目报名和投标时，各投标人均可就本次招标的</w:t>
      </w:r>
      <w:r>
        <w:rPr>
          <w:rFonts w:hint="eastAsia" w:ascii="宋体" w:hAnsi="宋体" w:cs="宋体"/>
          <w:color w:val="auto"/>
          <w:sz w:val="24"/>
          <w:szCs w:val="24"/>
          <w:highlight w:val="none"/>
          <w:lang w:eastAsia="zh-CN"/>
        </w:rPr>
        <w:t xml:space="preserve">东渚街道2026-2028年度社区居家养老服务设施社会化运营 </w:t>
      </w:r>
      <w:r>
        <w:rPr>
          <w:rFonts w:hint="eastAsia" w:ascii="宋体" w:hAnsi="宋体" w:cs="宋体"/>
          <w:color w:val="auto"/>
          <w:sz w:val="24"/>
          <w:szCs w:val="24"/>
          <w:highlight w:val="none"/>
        </w:rPr>
        <w:t xml:space="preserve">一标段、二标段</w:t>
      </w:r>
      <w:r>
        <w:rPr>
          <w:rFonts w:ascii="宋体" w:hAnsi="宋体" w:cs="宋体"/>
          <w:color w:val="auto"/>
          <w:sz w:val="24"/>
          <w:szCs w:val="24"/>
          <w:highlight w:val="none"/>
        </w:rPr>
        <w:t xml:space="preserve">上述</w:t>
      </w:r>
      <w:r>
        <w:rPr>
          <w:rFonts w:hint="eastAsia" w:ascii="宋体" w:hAnsi="宋体" w:cs="宋体"/>
          <w:color w:val="auto"/>
          <w:sz w:val="24"/>
          <w:szCs w:val="24"/>
          <w:highlight w:val="none"/>
        </w:rPr>
        <w:t xml:space="preserve">2</w:t>
      </w:r>
      <w:r>
        <w:rPr>
          <w:rFonts w:ascii="宋体" w:hAnsi="宋体" w:cs="宋体"/>
          <w:color w:val="auto"/>
          <w:sz w:val="24"/>
          <w:szCs w:val="24"/>
          <w:highlight w:val="none"/>
        </w:rPr>
        <w:t xml:space="preserve">个标段中,投标人可以选择其中1个或多个标段或全部标段进行报名投标，但每个投标人只能中一个标段。</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（2）本次招标项目开标时，按一标段、二标段依次进行开标。</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3）投标时，投标人仅可在其报名时选择确定的标段范围内进行投标（标段在报名确认后不得变更）。若投标人按评标方法被确定为中标候选人的标段数超过上述规定的中标标段数量限定原则，则依开标顺序，按先开先中的原则，确定该投标人的中标标段，其余标段将自动失去中标资格，不再具有该标段的得标权，不应计入该标段的实质性响应供应商数量内。</w:t>
      </w:r>
      <w:r/>
    </w:p>
    <w:p>
      <w:pPr>
        <w:ind w:firstLine="480"/>
        <w:spacing w:line="400" w:lineRule="exact"/>
        <w:rPr>
          <w:rFonts w:ascii="宋体" w:hAnsi="宋体" w:cs="宋体"/>
          <w:color w:val="auto"/>
          <w:sz w:val="24"/>
          <w:szCs w:val="24"/>
          <w:highlight w:val="none"/>
        </w:rPr>
      </w:pPr>
      <w:r>
        <w:rPr>
          <w:rFonts w:ascii="宋体" w:hAnsi="宋体" w:cs="宋体"/>
          <w:color w:val="auto"/>
          <w:sz w:val="24"/>
          <w:szCs w:val="24"/>
          <w:highlight w:val="none"/>
        </w:rPr>
        <w:t xml:space="preserve">（4）分标段采购的项目，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numPr>
          <w:ilvl w:val="0"/>
          <w:numId w:val="1"/>
        </w:num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本项目（是/否）接受联合体：否</w:t>
      </w:r>
      <w:r/>
    </w:p>
    <w:p>
      <w:pPr>
        <w:ind w:firstLine="482"/>
        <w:spacing w:line="360" w:lineRule="auto"/>
        <w:rPr>
          <w:rFonts w:hint="eastAsia" w:ascii="宋体" w:hAnsi="宋体" w:cs="宋体"/>
          <w:b/>
          <w:color w:val="auto"/>
          <w:sz w:val="24"/>
          <w:szCs w:val="24"/>
          <w:highlight w:val="none"/>
        </w:rPr>
      </w:pPr>
      <w:r/>
      <w:bookmarkStart w:id="6" w:name="_Toc28359013"/>
      <w:r/>
      <w:bookmarkStart w:id="7" w:name="_Toc35393799"/>
      <w:r/>
      <w:bookmarkStart w:id="8" w:name="_Toc28359090"/>
      <w:r/>
      <w:bookmarkStart w:id="9" w:name="_Toc35393630"/>
      <w:r>
        <w:rPr>
          <w:rFonts w:hint="eastAsia" w:ascii="宋体" w:hAnsi="宋体" w:eastAsia="宋体" w:cs="宋体"/>
          <w:b/>
          <w:color w:val="auto"/>
          <w:sz w:val="24"/>
          <w:szCs w:val="24"/>
          <w:highlight w:val="none"/>
        </w:rPr>
        <w:t xml:space="preserve">二、申请人的资格要求：</w:t>
      </w:r>
      <w:bookmarkEnd w:id="6"/>
      <w:r/>
      <w:bookmarkEnd w:id="7"/>
      <w:r/>
      <w:bookmarkEnd w:id="8"/>
      <w:r/>
      <w:bookmarkEnd w:id="9"/>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bookmarkStart w:id="10" w:name="_Toc28359003"/>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10"/>
      <w:r/>
      <w:bookmarkStart w:id="11" w:name="_Toc28359091"/>
      <w:r/>
      <w:bookmarkStart w:id="12" w:name="_Toc28359014"/>
      <w:r/>
      <w:r/>
    </w:p>
    <w:p>
      <w:pPr>
        <w:ind w:firstLine="480"/>
        <w:spacing w:line="360" w:lineRule="auto"/>
        <w:rPr>
          <w:rFonts w:hint="eastAsia" w:ascii="宋体" w:hAnsi="宋体" w:cs="宋体"/>
          <w:color w:val="auto"/>
          <w:sz w:val="24"/>
          <w:szCs w:val="24"/>
          <w:highlight w:val="none"/>
        </w:rPr>
      </w:pPr>
      <w:r/>
      <w:bookmarkStart w:id="13" w:name="_Toc35393800"/>
      <w:r/>
      <w:bookmarkStart w:id="14" w:name="_Toc35393631"/>
      <w:r>
        <w:rPr>
          <w:rFonts w:hint="eastAsia" w:ascii="宋体" w:hAnsi="宋体" w:eastAsia="宋体" w:cs="宋体"/>
          <w:color w:val="auto"/>
          <w:sz w:val="24"/>
          <w:szCs w:val="24"/>
          <w:highlight w:val="none"/>
        </w:rPr>
        <w:t xml:space="preserve">（二）落实政府采购政策需满足的资格要求：</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1.根据《政府采购促进中小企业发展管理办法》的相关规定，本项目专门面向中小企业采购，所属行业为</w:t>
      </w:r>
      <w:r>
        <w:rPr>
          <w:rFonts w:hint="eastAsia" w:ascii="Times New Roman" w:hAnsi="Times New Roman" w:eastAsia="宋体" w:cs="Times New Roman"/>
          <w:b/>
          <w:bCs/>
          <w:color w:val="auto"/>
          <w:sz w:val="24"/>
          <w:szCs w:val="20"/>
          <w:highlight w:val="none"/>
        </w:rPr>
        <w:t xml:space="preserve">租赁和商务服务业</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1.未被“信用中国”或“中国政府采购网”网站列入失信被执行人、重大税收违法案件当事人名单、政府采购严重失信行为记录名单。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szCs w:val="24"/>
          <w:highlight w:val="none"/>
          <w:lang w:eastAsia="zh-CN"/>
        </w:rPr>
        <w:t xml:space="preserve">。</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时间：自磋商公告发布之日起5个工作日</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方式：自行下载</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售价：0.00元</w:t>
      </w:r>
      <w:r/>
    </w:p>
    <w:p>
      <w:pPr>
        <w:ind w:firstLine="482"/>
        <w:spacing w:line="360" w:lineRule="auto"/>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四、响应文件提交</w:t>
      </w:r>
      <w:r/>
    </w:p>
    <w:p>
      <w:pPr>
        <w:ind w:firstLine="480"/>
        <w:spacing w:line="360" w:lineRule="auto"/>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 xml:space="preserve">截止时间：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25</w:t>
      </w:r>
      <w:r>
        <w:rPr>
          <w:rFonts w:ascii="仿宋" w:hAnsi="仿宋" w:eastAsia="仿宋" w:cs="仿宋"/>
          <w:color w:val="auto"/>
          <w:sz w:val="28"/>
          <w:highlight w:val="none"/>
        </w:rPr>
        <w:t xml:space="preserve"> </w:t>
      </w:r>
      <w:r>
        <w:rPr>
          <w:rFonts w:ascii="仿宋" w:hAnsi="仿宋" w:eastAsia="仿宋" w:cs="仿宋"/>
          <w:color w:val="auto"/>
          <w:sz w:val="28"/>
          <w:highlight w:val="none"/>
        </w:rPr>
        <w:t xml:space="preserve">09</w:t>
      </w:r>
      <w:r>
        <w:rPr>
          <w:rFonts w:ascii="仿宋" w:hAnsi="仿宋" w:eastAsia="仿宋" w:cs="仿宋"/>
          <w:color w:val="auto"/>
          <w:sz w:val="28"/>
          <w:highlight w:val="none"/>
        </w:rPr>
        <w:t xml:space="preserve">:30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地点：苏采云系统 </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ascii="仿宋" w:hAnsi="仿宋" w:eastAsia="仿宋" w:cs="仿宋"/>
          <w:color w:val="auto"/>
          <w:sz w:val="28"/>
          <w:highlight w:val="none"/>
        </w:rPr>
        <w:t xml:space="preserve">202</w:t>
      </w:r>
      <w:r>
        <w:rPr>
          <w:rFonts w:hint="eastAsia" w:ascii="仿宋" w:hAnsi="仿宋" w:eastAsia="仿宋" w:cs="仿宋"/>
          <w:color w:val="auto"/>
          <w:sz w:val="28"/>
          <w:highlight w:val="none"/>
          <w:lang w:val="en-US" w:eastAsia="zh-CN"/>
        </w:rPr>
        <w:t xml:space="preserve">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06</w:t>
      </w:r>
      <w:r>
        <w:rPr>
          <w:rFonts w:ascii="仿宋" w:hAnsi="仿宋" w:eastAsia="仿宋" w:cs="仿宋"/>
          <w:color w:val="auto"/>
          <w:sz w:val="28"/>
          <w:highlight w:val="none"/>
        </w:rPr>
        <w:t xml:space="preserve">-</w:t>
      </w:r>
      <w:r>
        <w:rPr>
          <w:rFonts w:hint="eastAsia" w:ascii="仿宋" w:hAnsi="仿宋" w:eastAsia="仿宋" w:cs="仿宋"/>
          <w:color w:val="auto"/>
          <w:sz w:val="28"/>
          <w:highlight w:val="none"/>
          <w:lang w:val="en-US" w:eastAsia="zh-CN"/>
        </w:rPr>
        <w:t xml:space="preserve">25</w:t>
      </w:r>
      <w:r>
        <w:rPr>
          <w:rFonts w:ascii="仿宋" w:hAnsi="仿宋" w:eastAsia="仿宋" w:cs="仿宋"/>
          <w:color w:val="auto"/>
          <w:sz w:val="28"/>
          <w:highlight w:val="none"/>
        </w:rPr>
        <w:t xml:space="preserve"> </w:t>
      </w:r>
      <w:r>
        <w:rPr>
          <w:rFonts w:ascii="仿宋" w:hAnsi="仿宋" w:eastAsia="仿宋" w:cs="仿宋"/>
          <w:color w:val="auto"/>
          <w:sz w:val="28"/>
          <w:highlight w:val="none"/>
        </w:rPr>
        <w:t xml:space="preserve">09</w:t>
      </w:r>
      <w:r>
        <w:rPr>
          <w:rFonts w:ascii="仿宋" w:hAnsi="仿宋" w:eastAsia="仿宋" w:cs="仿宋"/>
          <w:color w:val="auto"/>
          <w:sz w:val="28"/>
          <w:highlight w:val="none"/>
        </w:rPr>
        <w:t xml:space="preserve">:30</w:t>
      </w:r>
      <w:r>
        <w:rPr>
          <w:rFonts w:hint="eastAsia" w:ascii="宋体" w:hAnsi="宋体" w:eastAsia="宋体" w:cs="宋体"/>
          <w:color w:val="auto"/>
          <w:sz w:val="24"/>
          <w:szCs w:val="24"/>
          <w:highlight w:val="none"/>
        </w:rPr>
        <w:t xml:space="preserve">（北京时间）</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地点：</w:t>
      </w:r>
      <w:bookmarkEnd w:id="11"/>
      <w:r/>
      <w:bookmarkEnd w:id="12"/>
      <w:r/>
      <w:bookmarkEnd w:id="13"/>
      <w:r/>
      <w:bookmarkEnd w:id="14"/>
      <w:r>
        <w:rPr>
          <w:rFonts w:hint="eastAsia" w:ascii="宋体" w:hAnsi="宋体" w:eastAsia="宋体" w:cs="宋体"/>
          <w:color w:val="auto"/>
          <w:sz w:val="24"/>
          <w:szCs w:val="24"/>
          <w:highlight w:val="none"/>
        </w:rPr>
        <w:t xml:space="preserve">苏州市市辖区政府采购不见面虚拟开标室</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六、公告期限</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w:t>
      </w:r>
      <w:r/>
    </w:p>
    <w:p>
      <w:pPr>
        <w:ind w:firstLine="482"/>
        <w:spacing w:line="360" w:lineRule="auto"/>
        <w:rPr>
          <w:rFonts w:hint="eastAsia" w:ascii="宋体" w:hAnsi="宋体" w:cs="宋体"/>
          <w:b/>
          <w:color w:val="auto"/>
          <w:sz w:val="24"/>
          <w:szCs w:val="24"/>
          <w:highlight w:val="none"/>
        </w:rPr>
      </w:pPr>
      <w:r/>
      <w:bookmarkStart w:id="15" w:name="_Toc35393804"/>
      <w:r/>
      <w:bookmarkStart w:id="16" w:name="_Toc35393635"/>
      <w:r>
        <w:rPr>
          <w:rFonts w:hint="eastAsia" w:ascii="宋体" w:hAnsi="宋体" w:eastAsia="宋体" w:cs="宋体"/>
          <w:b/>
          <w:bCs/>
          <w:color w:val="auto"/>
          <w:sz w:val="24"/>
          <w:szCs w:val="24"/>
          <w:highlight w:val="none"/>
        </w:rPr>
        <w:t xml:space="preserve">七</w:t>
      </w:r>
      <w:r>
        <w:rPr>
          <w:rFonts w:hint="eastAsia" w:ascii="宋体" w:hAnsi="宋体" w:eastAsia="宋体" w:cs="宋体"/>
          <w:b/>
          <w:color w:val="auto"/>
          <w:sz w:val="24"/>
          <w:szCs w:val="24"/>
          <w:highlight w:val="none"/>
        </w:rPr>
        <w:t xml:space="preserve">、其他补充事宜</w:t>
      </w:r>
      <w:bookmarkEnd w:id="15"/>
      <w:r/>
      <w:bookmarkEnd w:id="16"/>
      <w:r/>
      <w:r/>
    </w:p>
    <w:p>
      <w:pPr>
        <w:ind w:firstLine="480"/>
        <w:spacing w:line="360" w:lineRule="auto"/>
        <w:widowControl/>
        <w:rPr>
          <w:rFonts w:hint="eastAsia" w:ascii="宋体" w:hAnsi="宋体" w:cs="宋体"/>
          <w:color w:val="auto"/>
          <w:sz w:val="24"/>
          <w:szCs w:val="24"/>
          <w:highlight w:val="none"/>
        </w:rPr>
      </w:pPr>
      <w:r/>
      <w:bookmarkStart w:id="17" w:name="_Toc35393805"/>
      <w:r/>
      <w:bookmarkStart w:id="18" w:name="_Toc28359018"/>
      <w:r/>
      <w:bookmarkStart w:id="19" w:name="_Toc28359095"/>
      <w:r/>
      <w:bookmarkStart w:id="20" w:name="_Toc35393636"/>
      <w:r>
        <w:rPr>
          <w:rFonts w:hint="eastAsia" w:ascii="宋体" w:hAnsi="宋体" w:eastAsia="宋体" w:cs="宋体"/>
          <w:color w:val="auto"/>
          <w:sz w:val="24"/>
          <w:szCs w:val="24"/>
          <w:highlight w:val="none"/>
        </w:rPr>
        <w:t xml:space="preserve">1、CA办理</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通过“苏采云”政府采购交易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Style w:val="688"/>
          <w:rFonts w:ascii="仿宋" w:hAnsi="仿宋" w:eastAsia="仿宋" w:cs="仿宋"/>
          <w:i w:val="0"/>
          <w:iCs w:val="0"/>
          <w:caps w:val="0"/>
          <w:color w:val="auto"/>
          <w:spacing w:val="0"/>
          <w:sz w:val="24"/>
          <w:szCs w:val="24"/>
          <w:highlight w:val="none"/>
          <w:shd w:val="clear" w:color="auto" w:fill="ffffff"/>
        </w:rPr>
        <w:t xml:space="preserve">苏州现场办理地址：苏州高新区邓尉路105号狮山科技馆1楼服务大厅，咨询电话：0512-</w:t>
      </w:r>
      <w:r>
        <w:rPr>
          <w:rStyle w:val="688"/>
          <w:rFonts w:hint="eastAsia" w:ascii="仿宋" w:hAnsi="仿宋" w:eastAsia="仿宋" w:cs="仿宋"/>
          <w:i w:val="0"/>
          <w:iCs w:val="0"/>
          <w:caps w:val="0"/>
          <w:color w:val="auto"/>
          <w:spacing w:val="0"/>
          <w:sz w:val="24"/>
          <w:szCs w:val="24"/>
          <w:highlight w:val="none"/>
          <w:shd w:val="clear" w:color="auto" w:fill="ffffff"/>
        </w:rPr>
        <w:t xml:space="preserve">65737699</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2、依法获取采购文件</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3、电子投标（响应）准备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4、线上参加开标（开启）会方式：</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5、在系统操作过程中如有疑问，请按以下方式联系：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注册咨询：0512-69820854；</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系统使用指导与咨询：联系电话：0512-69820854；智能客服：登录苏采云系统后，联系系统右下方智能客服图标进行咨询。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6、考虑到熟悉“苏采云”系统、办理CA证书都需要一定的时间，请提早准备以免耽误招（投）标采购活动。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7、拒绝下述供应商参加本次采购活动：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8、本公告同时在中国政府采购网、江苏政府采购网、苏州市政府采购网上发布。</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10、本项目不收取磋商保证金。</w:t>
      </w:r>
      <w:r/>
    </w:p>
    <w:p>
      <w:pPr>
        <w:ind w:firstLine="482"/>
        <w:spacing w:line="360" w:lineRule="auto"/>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11、不同磋商响应单位的响应文件“机器码一致”，响应文件将被拒绝。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12、本项目支持政府采购合同信用融资。</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八、凡对本次采购提出询问，请按以下方式联系。</w:t>
      </w:r>
      <w:bookmarkEnd w:id="17"/>
      <w:r/>
      <w:bookmarkEnd w:id="18"/>
      <w:r/>
      <w:bookmarkEnd w:id="19"/>
      <w:r/>
      <w:bookmarkEnd w:id="20"/>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名    称：</w:t>
      </w:r>
      <w:r>
        <w:rPr>
          <w:rFonts w:hint="eastAsia" w:ascii="宋体" w:hAnsi="宋体" w:cs="宋体"/>
          <w:color w:val="auto"/>
          <w:sz w:val="24"/>
          <w:szCs w:val="24"/>
          <w:highlight w:val="none"/>
          <w:lang w:val="zh-CN"/>
        </w:rPr>
        <w:t xml:space="preserve">苏州高新区(虎丘区)东渚街道办事处</w:t>
      </w:r>
      <w:r/>
    </w:p>
    <w:p>
      <w:pPr>
        <w:ind w:firstLine="840"/>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    址：</w:t>
      </w:r>
      <w:r>
        <w:rPr>
          <w:rFonts w:hint="eastAsia" w:ascii="宋体" w:hAnsi="宋体" w:cs="宋体"/>
          <w:color w:val="auto"/>
          <w:sz w:val="24"/>
          <w:szCs w:val="24"/>
          <w:highlight w:val="none"/>
          <w:lang w:val="zh-CN"/>
        </w:rPr>
        <w:t xml:space="preserve">苏州高新区科技城培源路3号</w:t>
      </w:r>
      <w:r/>
    </w:p>
    <w:p>
      <w:pPr>
        <w:ind w:firstLine="84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 系 人：</w:t>
      </w:r>
      <w:r>
        <w:rPr>
          <w:rFonts w:hint="eastAsia" w:ascii="宋体" w:hAnsi="宋体" w:cs="宋体"/>
          <w:color w:val="auto"/>
          <w:sz w:val="24"/>
          <w:szCs w:val="24"/>
          <w:highlight w:val="none"/>
          <w:lang w:val="en-US" w:eastAsia="zh-CN"/>
        </w:rPr>
        <w:t xml:space="preserve">徐工</w:t>
      </w:r>
      <w:r/>
    </w:p>
    <w:p>
      <w:pPr>
        <w:ind w:firstLine="84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联系电话：</w:t>
      </w:r>
      <w:r>
        <w:rPr>
          <w:rFonts w:hint="eastAsia" w:ascii="宋体" w:hAnsi="宋体" w:cs="宋体"/>
          <w:color w:val="auto"/>
          <w:sz w:val="24"/>
          <w:szCs w:val="24"/>
          <w:highlight w:val="none"/>
          <w:lang w:val="en-US" w:eastAsia="zh-CN"/>
        </w:rPr>
        <w:t xml:space="preserve">0512-</w:t>
      </w:r>
      <w:r>
        <w:rPr>
          <w:rFonts w:hint="eastAsia" w:ascii="宋体" w:hAnsi="宋体" w:eastAsia="宋体" w:cs="宋体"/>
          <w:color w:val="auto"/>
          <w:sz w:val="24"/>
          <w:szCs w:val="24"/>
          <w:highlight w:val="none"/>
          <w:lang w:val="zh-CN"/>
        </w:rPr>
        <w:t xml:space="preserve">66891715</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苏州中苏御源工程咨询有限公司</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    址：苏州高新区鹿山路369号4幢3楼</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联系方式：0512-65583189</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8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项目联系人：李欢欢、邹智宇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丁苏苏</w:t>
      </w:r>
      <w:r/>
    </w:p>
    <w:p>
      <w:pPr>
        <w:ind w:firstLine="84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电话：0512-65583189</w:t>
      </w:r>
      <w:r/>
    </w:p>
    <w:p>
      <w:pPr>
        <w:jc w:val="center"/>
        <w:spacing w:line="360" w:lineRule="auto"/>
        <w:tabs>
          <w:tab w:val="left" w:pos="8930" w:leader="none"/>
          <w:tab w:val="left" w:pos="9306" w:leader="none"/>
        </w:tabs>
        <w:rPr>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21" w:name="_Toc197425369"/>
      <w:r>
        <w:rPr>
          <w:rStyle w:val="964"/>
          <w:rFonts w:hint="eastAsia" w:ascii="宋体" w:hAnsi="宋体" w:eastAsia="宋体" w:cs="宋体"/>
          <w:color w:val="auto"/>
          <w:sz w:val="32"/>
          <w:szCs w:val="32"/>
          <w:highlight w:val="none"/>
        </w:rPr>
        <w:t xml:space="preserve">第二章  磋商须知</w:t>
      </w:r>
      <w:bookmarkEnd w:id="21"/>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1.说明</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1.1本采购文件仅适用于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组织的采购活动。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1.3本采购文件的解释权属于</w:t>
      </w:r>
      <w:r>
        <w:rPr>
          <w:rFonts w:hint="eastAsia" w:ascii="宋体" w:hAnsi="宋体" w:cs="宋体"/>
          <w:color w:val="auto"/>
          <w:sz w:val="24"/>
          <w:szCs w:val="24"/>
          <w:highlight w:val="none"/>
          <w:lang w:eastAsia="zh-CN"/>
        </w:rPr>
        <w:t xml:space="preserve">苏州中苏御源工程咨询有限公司</w:t>
      </w:r>
      <w:r>
        <w:rPr>
          <w:rFonts w:hint="eastAsia" w:ascii="宋体" w:hAnsi="宋体" w:eastAsia="宋体" w:cs="宋体"/>
          <w:color w:val="auto"/>
          <w:sz w:val="24"/>
          <w:szCs w:val="24"/>
          <w:highlight w:val="none"/>
        </w:rPr>
        <w:t xml:space="preserve">。</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2.词语释义</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2.10天：日历天。</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2.17书面形式：指书面文字、合同书、信件和传真等可以有形地表现所载内容的形式。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3.合格供应商的一般条件</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3.1具有独立承担民事责任的能力；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3.2具有良好的商业信誉和健全的财务会计制度；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3.3具有履行合同所必需的设备和专业技术能力；</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3.4有依法缴纳税收和社会保障资金的良好记录；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3.5参加政府采购活动前三年内，在经营活动中没有重大违法记录；</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3.6法律、行政法规规定的其他条件。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4.供应商代表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4.1指全权代表供应商参加磋商采购活动并签署磋商响应文件的人，如果磋商供应商代表不是法人代表，须持有《法人代表授权委托书》（详见附件格式）。</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5.磋商费用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6.联合体响应</w:t>
      </w:r>
      <w:r/>
    </w:p>
    <w:p>
      <w:pPr>
        <w:ind w:firstLine="482"/>
        <w:spacing w:line="360" w:lineRule="auto"/>
        <w:rPr>
          <w:rFonts w:hint="eastAsia" w:ascii="宋体" w:hAnsi="宋体" w:cs="宋体"/>
          <w:b/>
          <w:bCs/>
          <w:color w:val="auto"/>
          <w:spacing w:val="-1"/>
          <w:sz w:val="24"/>
          <w:szCs w:val="24"/>
          <w:highlight w:val="none"/>
        </w:rPr>
      </w:pPr>
      <w:r>
        <w:rPr>
          <w:rFonts w:hint="eastAsia" w:ascii="宋体" w:hAnsi="宋体" w:eastAsia="宋体" w:cs="宋体"/>
          <w:b/>
          <w:bCs/>
          <w:color w:val="auto"/>
          <w:sz w:val="24"/>
          <w:szCs w:val="24"/>
          <w:highlight w:val="none"/>
        </w:rPr>
        <w:t xml:space="preserve">本项目不接受联合体响应。</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6.1联合体各方应当向采购人提交联合体协议书，载明联合体各方承担的工作和义务，明确小微企业（残疾人福利性单位、监狱企业）的合同份额占到合同总金额的比例（如涉及），否则响应无效。</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6.2联合体中有同类资质的供应商按照联合体分工承担相同工作的，应当按照资质等级较低的供应商确定资质等级。</w:t>
      </w:r>
      <w:r/>
    </w:p>
    <w:p>
      <w:pPr>
        <w:ind w:firstLine="476"/>
        <w:spacing w:line="360" w:lineRule="auto"/>
        <w:rPr>
          <w:rFonts w:hint="eastAsia" w:ascii="宋体" w:hAnsi="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6.3联合体各方不得再单独参加或者与其他供应商另外组成联合体参加同一合同项下的政府采购活动，否则各相关响应均无效。</w:t>
      </w:r>
      <w:r/>
    </w:p>
    <w:p>
      <w:pPr>
        <w:ind w:firstLine="476"/>
        <w:spacing w:line="360" w:lineRule="auto"/>
        <w:rPr>
          <w:rFonts w:hint="eastAsia" w:ascii="宋体" w:hAnsi="宋体" w:cs="宋体"/>
          <w:b/>
          <w:bCs/>
          <w:color w:val="auto"/>
          <w:sz w:val="24"/>
          <w:szCs w:val="24"/>
          <w:highlight w:val="none"/>
        </w:rPr>
      </w:pPr>
      <w:r>
        <w:rPr>
          <w:rFonts w:hint="eastAsia" w:ascii="宋体" w:hAnsi="宋体" w:eastAsia="宋体" w:cs="宋体"/>
          <w:color w:val="auto"/>
          <w:spacing w:val="-1"/>
          <w:sz w:val="24"/>
          <w:szCs w:val="24"/>
          <w:highlight w:val="none"/>
        </w:rPr>
        <w:t xml:space="preserve">6.4联合体各方应当共同与采购人签订采购合同，就采购合同约定的事项对采购人承担连带责任。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7.采购文件及采购文件的澄清或修改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7.3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8.采购文件提疑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8.1询问：</w:t>
      </w:r>
      <w:r>
        <w:rPr>
          <w:rFonts w:hint="eastAsia" w:ascii="宋体" w:hAnsi="宋体" w:eastAsia="宋体" w:cs="宋体"/>
          <w:color w:val="auto"/>
          <w:sz w:val="24"/>
          <w:szCs w:val="24"/>
          <w:highlight w:val="none"/>
        </w:rPr>
        <w:t xml:space="preserve">供应商在收到采购文件后，若有问题需要询问，应于下载采购文件后在“苏采云”里及时提出，采购代理机构将予以解答。</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8.2质疑：</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响应单位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8.2.2根据《政府采购质疑和投诉办法》（财政部第94号令）第十一条规定，提出质疑的供应商应当是参与所质疑项目采购活动的供应商。因此凡是对采购文件提出质疑的供应商，必须是依法获取采购文件，</w:t>
      </w:r>
      <w:r>
        <w:rPr>
          <w:rFonts w:hint="eastAsia" w:ascii="宋体" w:hAnsi="宋体" w:eastAsia="宋体" w:cs="宋体"/>
          <w:color w:val="auto"/>
          <w:sz w:val="24"/>
          <w:szCs w:val="24"/>
          <w:highlight w:val="none"/>
        </w:rPr>
        <w:t xml:space="preserve">请将合法获取采购文件的证明材料（即</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）与质疑函一起递交，否则不予受理。</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4.2质疑项目的名称、编号；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4.4事实依据；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4.5必要的法律依据；</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4.6提出质疑的日期；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cs="宋体"/>
          <w:color w:val="auto"/>
          <w:sz w:val="24"/>
          <w:szCs w:val="24"/>
          <w:highlight w:val="none"/>
        </w:rPr>
        <w:t xml:space="preserve">4.7</w:t>
      </w:r>
      <w:r>
        <w:rPr>
          <w:rFonts w:hint="eastAsia" w:ascii="宋体" w:hAnsi="宋体" w:eastAsia="宋体" w:cs="宋体"/>
          <w:bCs/>
          <w:color w:val="auto"/>
          <w:sz w:val="24"/>
          <w:szCs w:val="24"/>
          <w:highlight w:val="none"/>
        </w:rPr>
        <w:t xml:space="preserve">供应商参加投标确认函</w:t>
      </w:r>
      <w:r>
        <w:rPr>
          <w:rFonts w:hint="eastAsia" w:ascii="宋体" w:hAnsi="宋体" w:eastAsia="宋体" w:cs="宋体"/>
          <w:color w:val="auto"/>
          <w:sz w:val="24"/>
          <w:szCs w:val="24"/>
          <w:highlight w:val="none"/>
        </w:rPr>
        <w:t xml:space="preserve">。</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bCs/>
          <w:color w:val="auto"/>
          <w:sz w:val="24"/>
          <w:szCs w:val="24"/>
          <w:highlight w:val="none"/>
        </w:rPr>
        <w:t xml:space="preserve">2.</w:t>
      </w:r>
      <w:r>
        <w:rPr>
          <w:rFonts w:hint="eastAsia" w:ascii="宋体" w:hAnsi="宋体" w:eastAsia="宋体" w:cs="宋体"/>
          <w:color w:val="auto"/>
          <w:sz w:val="24"/>
          <w:szCs w:val="24"/>
          <w:highlight w:val="none"/>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联系方式详见采购公告。</w:t>
      </w:r>
      <w:r/>
    </w:p>
    <w:p>
      <w:pPr>
        <w:pStyle w:val="697"/>
        <w:ind w:left="0" w:firstLine="482"/>
        <w:spacing w:line="360" w:lineRule="auto"/>
        <w:rPr>
          <w:rFonts w:hint="eastAsia" w:ascii="宋体" w:hAnsi="宋体" w:cs="宋体"/>
          <w:b/>
          <w:color w:val="auto"/>
          <w:sz w:val="24"/>
          <w:szCs w:val="24"/>
          <w:highlight w:val="none"/>
        </w:rPr>
        <w:outlineLvl w:val="9"/>
      </w:pPr>
      <w:r/>
      <w:bookmarkStart w:id="22" w:name="_Toc31942"/>
      <w:r>
        <w:rPr>
          <w:rFonts w:hint="eastAsia" w:ascii="宋体" w:hAnsi="宋体" w:eastAsia="宋体" w:cs="宋体"/>
          <w:b/>
          <w:color w:val="auto"/>
          <w:sz w:val="24"/>
          <w:szCs w:val="24"/>
          <w:highlight w:val="none"/>
        </w:rPr>
        <w:t xml:space="preserve">9.勘察现场</w:t>
      </w:r>
      <w:bookmarkEnd w:id="22"/>
      <w:r/>
      <w:r/>
    </w:p>
    <w:p>
      <w:pPr>
        <w:pStyle w:val="697"/>
        <w:ind w:left="0"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9.1本项目不组织统一勘察现场。</w:t>
      </w:r>
      <w:r/>
    </w:p>
    <w:p>
      <w:pPr>
        <w:pStyle w:val="697"/>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9.2根据自身需要，磋商供应商可在磋商响应文件递交之日前对有关现场和周围环境进行勘察，以获取编制响应文件和签署合同所需的信息。勘察现场所发生的费用由磋商供应商自己承担。</w:t>
      </w:r>
      <w:r/>
    </w:p>
    <w:p>
      <w:pPr>
        <w:pStyle w:val="697"/>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9.3采购单位向磋商供应商提供的有关现场的资料和数据（如有），是采购单位现有的并认为能使磋商供应商可利用的资料。采购单位对磋商供应商由此而做出的推论、理解和结论概不负责。</w:t>
      </w:r>
      <w:r/>
    </w:p>
    <w:p>
      <w:pPr>
        <w:pStyle w:val="697"/>
        <w:ind w:left="0"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9.4经采购单位允许，磋商供应商可为勘察目的进入采购单位的项目现场，但磋商供应商不得因此使采购单位承担有关的责任和蒙受损失。磋商供应商应承担勘察现场的责任和风险。</w:t>
      </w:r>
      <w:r/>
    </w:p>
    <w:p>
      <w:pPr>
        <w:ind w:firstLine="480"/>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9.5磋商供应商应在现场勘察时，熟悉现场及周围交通道路等情况，以获得一切可能影响其磋商的直接资料。磋商供应商成交后，不得以不完全了解现场情况为理由而向采购单位提出任何索赔的要求，对此采购单位不承担任何责任并将不作任何答复与考虑。</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10.提示与要求</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11.响应文件计量单位和使用文字</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11.2响应文件应使用中文编制，响应文件中必须使用其他文字的，必须附有中文译本。对于未附有中文译本和中文译本不准确的响应文件可能引起的对供应商不利的后果，采购单位概不负责。</w:t>
      </w:r>
      <w:r/>
    </w:p>
    <w:p>
      <w:pPr>
        <w:ind w:firstLine="482"/>
        <w:spacing w:line="360" w:lineRule="auto"/>
        <w:tabs>
          <w:tab w:val="left" w:pos="753"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12.响应文件组成（部分格式见第三章）</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12.1响应文件报价部分：</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12.1.1开标一览表（第一次），具体按照“苏采云”系统要求填报；</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12.1.2磋商报价明细表；</w:t>
      </w:r>
      <w:r/>
    </w:p>
    <w:p>
      <w:pPr>
        <w:ind w:firstLine="482"/>
        <w:jc w:val="left"/>
        <w:spacing w:line="360" w:lineRule="auto"/>
        <w:tabs>
          <w:tab w:val="left" w:pos="0"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12.2资格审查文件：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12.2.1具有独立承担民事责任的能力证明。需提供包括法人或者其他组织的营业执照等证明文件，自然人的身份证明；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12.2.2具有良好的商业信誉和健全的财务会计制度证明。</w:t>
      </w:r>
      <w:r>
        <w:rPr>
          <w:rFonts w:hint="eastAsia" w:ascii="宋体" w:hAnsi="宋体" w:eastAsia="宋体" w:cs="宋体"/>
          <w:bCs/>
          <w:color w:val="auto"/>
          <w:sz w:val="24"/>
          <w:highlight w:val="none"/>
        </w:rPr>
        <w:t xml:space="preserve">包括但不限于最近一期的审计报告或财务报表，其他组织、自然人及成立未满一年的法人应提供银行出具的资信证明；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12.2.3具有履行合同所必需的设备和专业技术能力。需提供证明材料或承诺函；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12.2.4有依法缴纳税收和社会保障资金的良好记录。需提供如税务登记证（如有）和合理期限内依法缴纳税收的凭据，社会保险登记证（如有）和合理期限内依法缴纳社会保险的凭据（专用收据或社会保险缴纳清单）。注：依法免税或不需要缴纳社会保障资金的供应商，应提供相应证明资料证明其依法免税或不需要缴纳社会保障资金，否则不予认可</w:t>
      </w:r>
      <w:r>
        <w:rPr>
          <w:rFonts w:hint="eastAsia" w:ascii="宋体" w:hAnsi="宋体" w:eastAsia="宋体" w:cs="宋体"/>
          <w:color w:val="auto"/>
          <w:spacing w:val="-1"/>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12.2.5参加政府采购活动前3年内在经营活动中没有重大违法记录。需提供参加政府采购活动前3年内在经营活动中没有重大违法记录的书面声明；</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12.2.6法律、行政法规规定的其他条件；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12.2.7根据《政府采购促进中小企业发展管理办法》的相关规定，</w:t>
      </w:r>
      <w:r>
        <w:rPr>
          <w:rFonts w:hint="eastAsia" w:ascii="宋体" w:hAnsi="宋体" w:eastAsia="宋体" w:cs="宋体"/>
          <w:b/>
          <w:bCs/>
          <w:color w:val="auto"/>
          <w:sz w:val="24"/>
          <w:szCs w:val="24"/>
          <w:highlight w:val="none"/>
        </w:rPr>
        <w:t xml:space="preserve">本项目专门面向中小企业采购，所属行业为租赁和商务服务业。</w:t>
      </w:r>
      <w:r>
        <w:rPr>
          <w:rFonts w:hint="eastAsia" w:ascii="宋体" w:hAnsi="宋体" w:eastAsia="宋体" w:cs="宋体"/>
          <w:color w:val="auto"/>
          <w:sz w:val="24"/>
          <w:szCs w:val="24"/>
          <w:highlight w:val="none"/>
        </w:rPr>
        <w:t xml:space="preserve">供应商应提供《中小企业声明函》或《残疾人福利性单位声明函》或省级以上监狱管理局、戒毒管理局（含新疆生产建设兵团）出具的属于监狱企业的证明文件；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12.2.8其他有关资格证明的文件（如有）。</w:t>
      </w:r>
      <w:r/>
    </w:p>
    <w:p>
      <w:pPr>
        <w:pStyle w:val="949"/>
        <w:ind w:firstLine="482"/>
        <w:spacing w:after="0" w:line="360" w:lineRule="auto"/>
        <w:rPr>
          <w:rFonts w:hint="eastAsia" w:ascii="宋体" w:hAnsi="宋体" w:cs="宋体"/>
          <w:color w:val="auto"/>
          <w:sz w:val="24"/>
          <w:highlight w:val="none"/>
        </w:rPr>
      </w:pPr>
      <w:r>
        <w:rPr>
          <w:rFonts w:hint="eastAsia" w:ascii="宋体" w:hAnsi="宋体" w:eastAsia="宋体" w:cs="宋体"/>
          <w:b/>
          <w:color w:val="auto"/>
          <w:sz w:val="24"/>
          <w:highlight w:val="none"/>
        </w:rPr>
        <w:t xml:space="preserve">12.3符合性审查文件：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12.3.1磋商响应单位法定代表人身份证复印件；</w:t>
      </w:r>
      <w:r/>
    </w:p>
    <w:p>
      <w:pPr>
        <w:ind w:firstLine="480"/>
        <w:jc w:val="left"/>
        <w:spacing w:line="360" w:lineRule="auto"/>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12.3.2法定代表人授权委托书、代理人身份证复印件（如有授权）；</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12.3.3磋商响应函；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12.3.4关于资格文件的声明函；</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12.3.5磋商响应单位基本情况表；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12.3.6投入本项目人员配备一览表；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12.3.7</w:t>
      </w:r>
      <w:r>
        <w:rPr>
          <w:rFonts w:hint="eastAsia" w:ascii="宋体" w:hAnsi="宋体" w:eastAsia="宋体" w:cs="宋体"/>
          <w:color w:val="auto"/>
          <w:sz w:val="24"/>
          <w:szCs w:val="24"/>
          <w:highlight w:val="none"/>
          <w:lang w:val="zh-CN"/>
        </w:rPr>
        <w:t xml:space="preserve">投标（响应）保证承诺书；</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12.3.8</w:t>
      </w:r>
      <w:r>
        <w:rPr>
          <w:rFonts w:hint="eastAsia" w:ascii="宋体" w:hAnsi="宋体" w:eastAsia="宋体" w:cs="宋体"/>
          <w:color w:val="auto"/>
          <w:spacing w:val="-1"/>
          <w:sz w:val="24"/>
          <w:szCs w:val="24"/>
          <w:highlight w:val="none"/>
        </w:rPr>
        <w:t xml:space="preserve">服务要求偏离表、商务条款偏离表</w:t>
      </w:r>
      <w:r>
        <w:rPr>
          <w:rFonts w:hint="eastAsia" w:ascii="宋体" w:hAnsi="宋体" w:eastAsia="宋体" w:cs="宋体"/>
          <w:color w:val="auto"/>
          <w:sz w:val="24"/>
          <w:szCs w:val="24"/>
          <w:highlight w:val="none"/>
          <w:lang w:val="zh-CN"/>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12.3.9</w:t>
      </w:r>
      <w:r>
        <w:rPr>
          <w:rFonts w:hint="eastAsia" w:ascii="宋体" w:hAnsi="宋体" w:eastAsia="宋体" w:cs="宋体"/>
          <w:color w:val="auto"/>
          <w:spacing w:val="-1"/>
          <w:sz w:val="24"/>
          <w:szCs w:val="24"/>
          <w:highlight w:val="none"/>
        </w:rPr>
        <w:t xml:space="preserve">响应单位与其他单位存在控股、管理关系情况表；</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12.3.10其他有关符合性证明的文件（如有）。</w:t>
      </w:r>
      <w:r/>
    </w:p>
    <w:p>
      <w:pPr>
        <w:pStyle w:val="959"/>
        <w:ind w:left="0" w:firstLine="482"/>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12.4综合评审文件：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12.4.1实施方案；</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12.4.2评分标准中所涉及到的其他材料等；</w:t>
      </w:r>
      <w:r/>
    </w:p>
    <w:p>
      <w:pPr>
        <w:ind w:firstLine="48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12.4.3其他需供应商对本次响应的详细说明。</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注：（1）以上12.2为资格审查要求提供的材料，是作为对供应商资格审查、质疑身份认定的依据，响应供应商必须提供并加盖电子公章。否则，磋商响应文件将被认定为不符合资格审查要求。</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（2）以上12.3为符合性审查须提供的资料，响应供应商必须提供并加盖电子公章。否则，磋商响应文件将被认定为未实质性响应。</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（3）制作电子响应文件时必须与响应文件制作软件目录一一对应，将相关资料上传至相应模块。</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p>
    <w:p>
      <w:pPr>
        <w:ind w:firstLine="482"/>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13.报价（编制）要求的说明</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13.1除非合同中另有规定，响应报价包括合同期间发生的全部费用，</w:t>
      </w:r>
      <w:r>
        <w:rPr>
          <w:rFonts w:hint="eastAsia" w:hAnsi="宋体"/>
          <w:color w:val="auto"/>
          <w:sz w:val="24"/>
          <w:szCs w:val="24"/>
          <w:highlight w:val="none"/>
        </w:rPr>
        <w:t xml:space="preserve">人员（包括工资和补贴）、</w:t>
      </w:r>
      <w:r>
        <w:rPr>
          <w:rFonts w:hint="eastAsia" w:hAnsi="宋体"/>
          <w:color w:val="auto"/>
          <w:sz w:val="24"/>
          <w:szCs w:val="24"/>
          <w:highlight w:val="none"/>
          <w:lang w:val="en-US" w:eastAsia="zh-CN"/>
        </w:rPr>
        <w:t xml:space="preserve">活动经费、电梯维护经费及其它设施维护费、</w:t>
      </w:r>
      <w:r>
        <w:rPr>
          <w:rFonts w:hint="eastAsia" w:hAnsi="宋体"/>
          <w:color w:val="auto"/>
          <w:sz w:val="24"/>
          <w:szCs w:val="24"/>
          <w:highlight w:val="none"/>
        </w:rPr>
        <w:t xml:space="preserve">办公场所及设施、保险、劳保、管理、各种税费、利润、税金、代理服务费、政策性文件规定及合同包含的所有风险、责任等各项应有费用</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rPr>
        <w:t xml:space="preserve">磋商二次报价为最终报价，除非因特殊原因并经买卖双方协商同意，磋商供应商不得再要求追加任何费用。同时，除非合同条款中另有规定，否则，磋商供应商所报价格在合同实施期间不因市场变化因素而变动。</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13.4磋商响应文件报价中的单价和总价全部采用人民币表示，除非合同的特殊条款另有规定。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14.保证金</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15.响应文件的有效期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15.1自磋商响应文件递交（上传）截止之日起</w:t>
      </w:r>
      <w:r>
        <w:rPr>
          <w:rFonts w:hint="eastAsia" w:ascii="宋体" w:hAnsi="宋体" w:cs="宋体"/>
          <w:color w:val="auto"/>
          <w:sz w:val="24"/>
          <w:szCs w:val="24"/>
          <w:highlight w:val="none"/>
          <w:u w:val="single"/>
        </w:rPr>
        <w:t xml:space="preserve">90</w:t>
      </w:r>
      <w:r>
        <w:rPr>
          <w:rFonts w:hint="eastAsia" w:ascii="宋体" w:hAnsi="宋体" w:eastAsia="宋体" w:cs="宋体"/>
          <w:color w:val="auto"/>
          <w:sz w:val="24"/>
          <w:szCs w:val="24"/>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15.2在特殊情况下，采购单位可与供应商协商延长磋商响应文件的有效期。这种要求和答复都应以书面形式进行。同意延长有效期的供应商不能修改磋商响应文件。拒绝接受延期要求的供应商的响应将被拒绝。</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16.截止时间</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16.3在递交（上传）截止时间以后递交（上传）的磋商响应文件，采购单位将拒绝接收。</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17.</w:t>
      </w:r>
      <w:r>
        <w:rPr>
          <w:rFonts w:hint="eastAsia" w:ascii="宋体" w:hAnsi="宋体" w:eastAsia="宋体" w:cs="宋体"/>
          <w:b/>
          <w:bCs/>
          <w:color w:val="auto"/>
          <w:sz w:val="24"/>
          <w:szCs w:val="24"/>
          <w:highlight w:val="none"/>
        </w:rPr>
        <w:t xml:space="preserve">电子投标（响应）文件的编制与提交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17.3</w:t>
      </w:r>
      <w:r>
        <w:rPr>
          <w:rFonts w:hint="eastAsia" w:ascii="宋体" w:hAnsi="宋体" w:eastAsia="宋体" w:cs="宋体"/>
          <w:b/>
          <w:bCs/>
          <w:color w:val="auto"/>
          <w:sz w:val="24"/>
          <w:szCs w:val="24"/>
          <w:highlight w:val="none"/>
        </w:rPr>
        <w:t xml:space="preserve">响应文件未按照采购文件要求加盖CA电子公章的，响应无效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17.4联合体投标：如招标（采购）公告中允许联合体投标（响应），联合体的投标（响应）文件制作上传操作如下：</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第一步：在投标（响应）文件中上传联合体投标（响应）协议书。</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17.5响应文件开启、评标（评审）</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17.5.2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17.5.3</w:t>
      </w:r>
      <w:r>
        <w:rPr>
          <w:rFonts w:hint="eastAsia" w:ascii="宋体" w:hAnsi="宋体" w:eastAsia="宋体" w:cs="宋体"/>
          <w:b/>
          <w:bCs/>
          <w:color w:val="auto"/>
          <w:sz w:val="24"/>
          <w:szCs w:val="24"/>
          <w:highlight w:val="none"/>
        </w:rPr>
        <w:t xml:space="preserve">供应商在“苏采云”系统规定的时间内未成功解密电子响应文件的，响应无效</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17.6响应文件的修改和撤回</w:t>
      </w:r>
      <w:r/>
    </w:p>
    <w:p>
      <w:pPr>
        <w:ind w:firstLine="480"/>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18.磋商程序说明</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18.1采购代理机构按本须知规定的时间、地点主持磋商采购活动。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在线参与磋商活动。供应商应当按照《苏采云系统供应商操作手册》规定在“苏采云”系统规定的时间内对响应文件进行解密。在磋商响应文件网上递交截止时间止成功解密的磋商供应商少于三家，则本次采购失败。</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18.3由磋商小组审查供应商解密的响应文件。</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18.4资格审查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查询时间：响应文件递交截止时间。</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查询渠道：“苏采云”。</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信用记录使用规则：</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如是接受联合体的项目，两个以上的自然人、法人或者其他组织组成一个联合体，以一个供应商的身份共同参加政府采购活动的，联合体成员其中一名成员存在失信信息的，视同联合体存在失信信息。</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18.6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highlight w:val="none"/>
        </w:rPr>
        <w:t xml:space="preserve">如因供应商自身原因未在规定时间内提交澄清确认资料的，导致的不利后果由供应商自行承担。</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highlight w:val="none"/>
        </w:rPr>
        <w:t xml:space="preserve">磋商小组通过“苏采云”系统向供应商发布“磋商函”，供应商应当按照要求在“苏采云”系统提交“磋商响应函”并加盖CA电子公章。</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18.9供应商应当按照采购文件的变动情况和磋商小组的要求，各供应商应及时关注【评审】环节等待询标澄清进行回复。</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18.10磋商结束后，</w:t>
      </w:r>
      <w:r>
        <w:rPr>
          <w:rFonts w:hint="eastAsia" w:ascii="宋体" w:hAnsi="宋体" w:eastAsia="宋体" w:cs="宋体"/>
          <w:b/>
          <w:bCs/>
          <w:color w:val="auto"/>
          <w:szCs w:val="24"/>
          <w:highlight w:val="none"/>
        </w:rPr>
        <w:t xml:space="preserve">磋商小组将在“苏采云”系统向所有实质性响应的供应商发布“最后报价要求函”及“最终报价表”，要求所有实质性响应的供应商在规定时间内提交最后报价</w:t>
      </w:r>
      <w:r>
        <w:rPr>
          <w:rFonts w:hint="eastAsia" w:ascii="宋体" w:hAnsi="宋体" w:eastAsia="宋体" w:cs="宋体"/>
          <w:color w:val="auto"/>
          <w:szCs w:val="24"/>
          <w:highlight w:val="none"/>
        </w:rPr>
        <w:t xml:space="preserve">。因供应商自身原因导致线上报价失败的后果由供应商自行承担。</w:t>
      </w:r>
      <w:r>
        <w:rPr>
          <w:rStyle w:val="992"/>
          <w:rFonts w:hint="eastAsia" w:ascii="宋体" w:hAnsi="宋体" w:eastAsia="宋体" w:cs="宋体"/>
          <w:color w:val="auto"/>
          <w:szCs w:val="24"/>
          <w:highlight w:val="none"/>
        </w:rPr>
        <w:t xml:space="preserve">提交最后报价的供应商不得少于3家。</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18.11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18.12经磋商确定最终采购需求和提交最后报价的供应商后，由磋商小组采用综合评分法对提交最后报价的供应商的响应文件和最后报价进行综合评分。</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18.13磋商小组根据磋商成交原则确定成交供应商，并将结果通知所有参加磋商的供应商。</w:t>
      </w:r>
      <w:r/>
    </w:p>
    <w:p>
      <w:pPr>
        <w:pStyle w:val="787"/>
        <w:ind w:firstLine="480"/>
        <w:jc w:val="both"/>
        <w:spacing w:line="360" w:lineRule="auto"/>
        <w:tabs>
          <w:tab w:val="left" w:pos="0" w:leader="none"/>
        </w:tabs>
        <w:rPr>
          <w:rFonts w:hint="eastAsia" w:ascii="宋体" w:hAnsi="宋体" w:cs="宋体"/>
          <w:color w:val="auto"/>
          <w:szCs w:val="24"/>
          <w:highlight w:val="none"/>
        </w:rPr>
      </w:pPr>
      <w:r>
        <w:rPr>
          <w:rFonts w:hint="eastAsia" w:ascii="宋体" w:hAnsi="宋体" w:eastAsia="宋体" w:cs="宋体"/>
          <w:color w:val="auto"/>
          <w:szCs w:val="24"/>
          <w:highlight w:val="none"/>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注：如不同投标（响应）文件制作机器码一致，则投标（响应）无效。</w:t>
      </w:r>
      <w:r/>
    </w:p>
    <w:p>
      <w:pPr>
        <w:ind w:firstLine="482"/>
        <w:spacing w:line="360" w:lineRule="auto"/>
        <w:tabs>
          <w:tab w:val="left" w:pos="753"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18.15本项目采用线上二次报价：</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highlight w:val="none"/>
        </w:rPr>
        <w:t xml:space="preserve">章环节，供应商点击签章按钮，签章完成后可进行提交。</w:t>
      </w:r>
      <w:r>
        <w:rPr>
          <w:rFonts w:hint="eastAsia" w:ascii="宋体" w:hAnsi="宋体" w:eastAsia="宋体" w:cs="宋体"/>
          <w:b/>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进入项目评审流程后，建议各供应商法定代表人或授权委托人始终保持通讯顺畅，时</w:t>
      </w:r>
      <w:r>
        <w:rPr>
          <w:rFonts w:hint="eastAsia" w:ascii="宋体" w:hAnsi="宋体" w:eastAsia="宋体" w:cs="宋体"/>
          <w:b/>
          <w:color w:val="auto"/>
          <w:sz w:val="24"/>
          <w:szCs w:val="24"/>
          <w:highlight w:val="none"/>
        </w:rPr>
        <w:t xml:space="preserve">刻关注不见面开标大厅，不离开不见面开标大厅。</w:t>
      </w:r>
      <w:r/>
    </w:p>
    <w:p>
      <w:pPr>
        <w:ind w:firstLine="482"/>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19.磋商小组</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19.2采购人员及相关人员与参加采购活动的供应商存在下列利害关系之一的，应当回避：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（二）与供应商的法定代表人或者负责人有夫妻、直系血亲、三代以内旁系血亲或者近姻亲关系；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（三）与供应商有其他可能影响政府采购活动公平、公正进行的关系。</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20.项目的终止</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20.1出现下列情形之一的，将终止竞争性磋商采购活动：</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20.1.1因情况变化，不再符合规定的竞争性磋商采购方式适用情形的；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20.1.2出现影响采购公正的违法、违规行为的；</w:t>
      </w:r>
      <w:r/>
    </w:p>
    <w:p>
      <w:pPr>
        <w:ind w:firstLine="480"/>
        <w:spacing w:line="360" w:lineRule="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20.1.3在采购过程中符合要求的供应商或者报价未超过采购预算的供应商不足3家的；</w:t>
      </w:r>
      <w:r/>
    </w:p>
    <w:p>
      <w:pPr>
        <w:ind w:firstLine="480"/>
        <w:spacing w:line="360" w:lineRule="auto"/>
        <w:tabs>
          <w:tab w:val="left" w:pos="753" w:leader="none"/>
        </w:tabs>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21.评审内容的保密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21.3在评审期间，采购单位将通过指定联络人与磋商供应商进行联系。</w:t>
      </w:r>
      <w:r/>
    </w:p>
    <w:p>
      <w:p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22.磋商说明</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22.1不符合供应商资格要求的响应文件将被拒绝；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22.2响应文件签署不符合要求的，响应文件将被拒绝；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22.3任意一次磋商报价超过采购预算的，不能成交；</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22.4不实质性响应采购文件的不能成交；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22.5</w:t>
      </w:r>
      <w:r>
        <w:rPr>
          <w:rFonts w:hint="eastAsia" w:ascii="宋体" w:hAnsi="宋体" w:eastAsia="宋体" w:cs="宋体"/>
          <w:bCs/>
          <w:color w:val="auto"/>
          <w:sz w:val="24"/>
          <w:szCs w:val="24"/>
          <w:highlight w:val="none"/>
        </w:rPr>
        <w:t xml:space="preserve">在采购过程中符合要求的供应商或者报价未超过采购预算的供应商不足3家的；</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23.成交单位的确认</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23.2</w:t>
      </w:r>
      <w:r>
        <w:rPr>
          <w:rFonts w:hint="eastAsia" w:ascii="宋体" w:hAnsi="宋体" w:eastAsia="宋体" w:cs="宋体"/>
          <w:color w:val="auto"/>
          <w:sz w:val="24"/>
          <w:szCs w:val="24"/>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w:t>
      </w:r>
      <w:r>
        <w:rPr>
          <w:rFonts w:hint="eastAsia" w:ascii="宋体" w:hAnsi="宋体" w:eastAsia="宋体" w:cs="宋体"/>
          <w:bCs/>
          <w:color w:val="auto"/>
          <w:sz w:val="24"/>
          <w:szCs w:val="24"/>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24.合同授予标准</w:t>
      </w:r>
      <w:r/>
    </w:p>
    <w:p>
      <w:pPr>
        <w:ind w:firstLine="480"/>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24.1采购单位将把合同授予其磋商响应文件在实质上响应采购文件要求和按本须知规定评选出的供应商。确定为成交的供应商必须具有实施本合同的能力和资源。</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25.成交通知书</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25.1采购人或采购代理机构根据相关规定发布成交公告，成交公告发出的同时应当向成交供应商发出《成交通知书》</w:t>
      </w:r>
      <w:bookmarkStart w:id="23" w:name="_Hlk132389804"/>
      <w:r/>
      <w:bookmarkStart w:id="24" w:name="_Hlk132385577"/>
      <w:r/>
      <w:bookmarkStart w:id="25" w:name="_Hlk132385599"/>
      <w:r>
        <w:rPr>
          <w:rFonts w:hint="eastAsia" w:ascii="宋体" w:hAnsi="宋体" w:eastAsia="宋体" w:cs="宋体"/>
          <w:color w:val="auto"/>
          <w:sz w:val="24"/>
          <w:szCs w:val="24"/>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23"/>
      <w:r/>
      <w:bookmarkEnd w:id="24"/>
      <w:r/>
      <w:bookmarkEnd w:id="25"/>
      <w:r>
        <w:rPr>
          <w:rFonts w:hint="eastAsia" w:ascii="宋体" w:hAnsi="宋体" w:eastAsia="宋体" w:cs="宋体"/>
          <w:color w:val="auto"/>
          <w:sz w:val="24"/>
          <w:szCs w:val="24"/>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26.</w:t>
      </w:r>
      <w:r>
        <w:rPr>
          <w:rFonts w:hint="eastAsia" w:ascii="宋体" w:hAnsi="宋体" w:eastAsia="宋体" w:cs="宋体"/>
          <w:b/>
          <w:color w:val="auto"/>
          <w:sz w:val="24"/>
          <w:szCs w:val="24"/>
          <w:highlight w:val="none"/>
        </w:rPr>
        <w:t xml:space="preserve">代理服务费</w:t>
      </w:r>
      <w:r/>
    </w:p>
    <w:p>
      <w:pPr>
        <w:ind w:firstLine="480"/>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26.1成交单位须按以下的规定按其预算金额计算并支付服务费，该费用应在领取成交通知书时</w:t>
      </w:r>
      <w:r>
        <w:rPr>
          <w:rFonts w:hint="eastAsia" w:ascii="宋体" w:hAnsi="宋体" w:eastAsia="宋体" w:cs="宋体"/>
          <w:color w:val="auto"/>
          <w:sz w:val="24"/>
          <w:szCs w:val="24"/>
          <w:highlight w:val="none"/>
          <w:lang w:val="zh-CN"/>
        </w:rPr>
        <w:t xml:space="preserve">一次性</w:t>
      </w:r>
      <w:r>
        <w:rPr>
          <w:rFonts w:hint="eastAsia" w:ascii="宋体" w:hAnsi="宋体" w:eastAsia="宋体" w:cs="宋体"/>
          <w:color w:val="auto"/>
          <w:sz w:val="24"/>
          <w:szCs w:val="24"/>
          <w:highlight w:val="none"/>
        </w:rPr>
        <w:t xml:space="preserve">付清：</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以项目预算金额作为代理服务费的计算基数，按照以下差额定率累进法计算方法确定政府采购代理服务费金额：</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预算金额：100万元以下部分按预算金额的1.5%收取；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预算金额：100万元（含）~500万元以下部分按预算金额的1.1%收取；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预算金额：500万元（含）~1000万元以下部分按预算金额的0.8%收取；</w:t>
      </w:r>
      <w:r/>
    </w:p>
    <w:p>
      <w:pPr>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预算金额：5000万元（含）以上部分按预算金额的0.25%收取；领取成交通知书时向招标代理机构一次性付清。</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注：本项目采购预算已包含代理费，一标段代理服务费为人民币11736.00元，</w:t>
      </w:r>
      <w:r>
        <w:rPr>
          <w:rFonts w:hint="eastAsia" w:ascii="宋体" w:hAnsi="宋体" w:eastAsia="宋体" w:cs="宋体"/>
          <w:color w:val="auto"/>
          <w:sz w:val="24"/>
          <w:szCs w:val="24"/>
          <w:highlight w:val="none"/>
          <w:lang w:val="en-US" w:eastAsia="zh-CN"/>
        </w:rPr>
        <w:t xml:space="preserve">二标段代理服务费为人民币</w:t>
      </w:r>
      <w:r>
        <w:rPr>
          <w:rFonts w:hint="eastAsia" w:ascii="宋体" w:hAnsi="宋体" w:eastAsia="宋体" w:cs="宋体"/>
          <w:color w:val="auto"/>
          <w:sz w:val="24"/>
          <w:szCs w:val="24"/>
          <w:highlight w:val="none"/>
          <w:u w:val="none"/>
          <w:lang w:val="en-US" w:eastAsia="zh-CN"/>
        </w:rPr>
        <w:t xml:space="preserve">17622.40</w:t>
      </w:r>
      <w:r>
        <w:rPr>
          <w:rFonts w:hint="eastAsia" w:ascii="宋体" w:hAnsi="宋体" w:eastAsia="宋体" w:cs="宋体"/>
          <w:color w:val="auto"/>
          <w:sz w:val="24"/>
          <w:szCs w:val="24"/>
          <w:highlight w:val="none"/>
          <w:lang w:val="en-US" w:eastAsia="zh-CN"/>
        </w:rPr>
        <w:t xml:space="preserve">元</w:t>
      </w:r>
      <w:r/>
    </w:p>
    <w:p>
      <w:pPr>
        <w:ind w:firstLine="482"/>
        <w:spacing w:line="360" w:lineRule="auto"/>
        <w:tabs>
          <w:tab w:val="left" w:pos="8930" w:leader="none"/>
          <w:tab w:val="left" w:pos="9306" w:leader="none"/>
        </w:tabs>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27.履约保证金</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无</w:t>
      </w:r>
      <w:r/>
    </w:p>
    <w:p>
      <w:pPr>
        <w:ind w:firstLine="482"/>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28.未尽事宜</w:t>
      </w:r>
      <w:r/>
    </w:p>
    <w:p>
      <w:pPr>
        <w:ind w:firstLine="482"/>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cs="宋体"/>
          <w:b/>
          <w:bCs/>
          <w:color w:val="auto"/>
          <w:sz w:val="32"/>
          <w:szCs w:val="32"/>
          <w:highlight w:val="none"/>
        </w:rPr>
        <w:outlineLvl w:val="0"/>
      </w:pPr>
      <w:r>
        <w:rPr>
          <w:rFonts w:hint="eastAsia" w:ascii="宋体" w:hAnsi="宋体" w:cs="宋体"/>
          <w:color w:val="auto"/>
          <w:sz w:val="24"/>
          <w:szCs w:val="24"/>
          <w:highlight w:val="none"/>
        </w:rPr>
        <w:br w:type="page" w:clear="all"/>
      </w:r>
      <w:bookmarkStart w:id="26" w:name="_Toc197425370"/>
      <w:r>
        <w:rPr>
          <w:rFonts w:hint="eastAsia" w:ascii="宋体" w:hAnsi="宋体" w:eastAsia="宋体" w:cs="宋体"/>
          <w:b/>
          <w:bCs/>
          <w:color w:val="auto"/>
          <w:sz w:val="32"/>
          <w:szCs w:val="32"/>
          <w:highlight w:val="none"/>
        </w:rPr>
        <w:t xml:space="preserve">第三章  磋商响应文件格式</w:t>
      </w:r>
      <w:bookmarkEnd w:id="26"/>
      <w:r/>
      <w:r/>
    </w:p>
    <w:p>
      <w:pPr>
        <w:jc w:val="lef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1、（供应商）法定代表人授权委托书</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本授权委托书声明：我</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（姓名）系</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（供应商名称）  </w:t>
      </w:r>
      <w:r>
        <w:rPr>
          <w:rFonts w:hint="eastAsia" w:ascii="宋体" w:hAnsi="宋体" w:eastAsia="宋体" w:cs="宋体"/>
          <w:color w:val="auto"/>
          <w:sz w:val="24"/>
          <w:highlight w:val="none"/>
        </w:rPr>
        <w:t xml:space="preserve">的法定代表人，现授权委托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（姓名）</w:t>
      </w:r>
      <w:r>
        <w:rPr>
          <w:rFonts w:hint="eastAsia" w:ascii="宋体" w:hAnsi="宋体" w:eastAsia="宋体" w:cs="宋体"/>
          <w:color w:val="auto"/>
          <w:sz w:val="24"/>
          <w:highlight w:val="none"/>
        </w:rPr>
        <w:t xml:space="preserve">为我公司授权代表（即代理人），以本公司的名义参加</w:t>
      </w:r>
      <w:r>
        <w:rPr>
          <w:rFonts w:hint="eastAsia" w:ascii="宋体" w:hAnsi="宋体" w:eastAsia="宋体" w:cs="宋体"/>
          <w:color w:val="auto"/>
          <w:sz w:val="24"/>
          <w:highlight w:val="none"/>
          <w:u w:val="single"/>
        </w:rPr>
        <w:t xml:space="preserve">       （采购代理机构）      </w:t>
      </w:r>
      <w:r>
        <w:rPr>
          <w:rFonts w:hint="eastAsia" w:ascii="宋体" w:hAnsi="宋体" w:eastAsia="宋体" w:cs="宋体"/>
          <w:color w:val="auto"/>
          <w:sz w:val="24"/>
          <w:highlight w:val="none"/>
        </w:rPr>
        <w:t xml:space="preserve">组织实施的编号为</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u w:val="single"/>
        </w:rPr>
        <w:t xml:space="preserve">（采购编号）</w:t>
      </w:r>
      <w:r>
        <w:rPr>
          <w:rFonts w:ascii="宋体" w:hAnsi="宋体" w:cs="宋体"/>
          <w:color w:val="auto"/>
          <w:sz w:val="24"/>
          <w:highlight w:val="none"/>
          <w:u w:val="single"/>
        </w:rPr>
        <w:t xml:space="preserve">       </w:t>
      </w:r>
      <w:r>
        <w:rPr>
          <w:rFonts w:hint="eastAsia" w:ascii="宋体" w:hAnsi="宋体" w:eastAsia="宋体" w:cs="宋体"/>
          <w:color w:val="auto"/>
          <w:sz w:val="24"/>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授权代表无转委托权。特此委托。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供应商：（公章）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代理人：（签字或盖章）</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 月  </w:t>
      </w:r>
      <w:r>
        <w:rPr>
          <w:rFonts w:ascii="宋体" w:hAnsi="宋体" w:cs="宋体"/>
          <w:color w:val="auto"/>
          <w:sz w:val="24"/>
          <w:highlight w:val="none"/>
        </w:rPr>
        <w:t xml:space="preserve">  </w:t>
      </w:r>
      <w:r>
        <w:rPr>
          <w:rFonts w:hint="eastAsia" w:ascii="宋体" w:hAnsi="宋体" w:eastAsia="宋体" w:cs="宋体"/>
          <w:color w:val="auto"/>
          <w:sz w:val="24"/>
          <w:highlight w:val="none"/>
        </w:rPr>
        <w:t xml:space="preserve">日</w:t>
      </w:r>
      <w:r/>
    </w:p>
    <w:p>
      <w:pPr>
        <w:jc w:val="left"/>
        <w:rPr>
          <w:rFonts w:hint="eastAsia" w:ascii="宋体" w:hAnsi="宋体" w:cs="宋体"/>
          <w:b/>
          <w:bCs/>
          <w:color w:val="auto"/>
          <w:sz w:val="24"/>
          <w:szCs w:val="24"/>
          <w:highlight w:val="none"/>
        </w:rPr>
        <w:outlineLvl w:val="9"/>
      </w:pPr>
      <w:r>
        <w:rPr>
          <w:rFonts w:hint="eastAsia" w:ascii="宋体" w:hAnsi="宋体" w:cs="宋体"/>
          <w:b/>
          <w:bCs/>
          <w:color w:val="auto"/>
          <w:szCs w:val="21"/>
          <w:highlight w:val="none"/>
        </w:rPr>
        <w:br w:type="page" w:clear="all"/>
      </w:r>
      <w:r>
        <w:rPr>
          <w:rFonts w:hint="eastAsia" w:ascii="宋体" w:hAnsi="宋体" w:eastAsia="宋体" w:cs="宋体"/>
          <w:b/>
          <w:bCs/>
          <w:color w:val="auto"/>
          <w:sz w:val="24"/>
          <w:szCs w:val="24"/>
          <w:highlight w:val="none"/>
        </w:rPr>
        <w:t xml:space="preserve">2、磋商响应函</w:t>
      </w:r>
      <w:r/>
    </w:p>
    <w:p>
      <w:pPr>
        <w:ind w:firstLine="48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cente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磋商响应函</w:t>
      </w:r>
      <w:r/>
    </w:p>
    <w:p>
      <w:pPr>
        <w:ind w:firstLine="480"/>
        <w:spacing w:line="360" w:lineRule="auto"/>
        <w:rPr>
          <w:rFonts w:hint="eastAsia" w:ascii="宋体" w:hAnsi="宋体" w:cs="宋体"/>
          <w:color w:val="auto"/>
          <w:sz w:val="24"/>
          <w:highlight w:val="none"/>
          <w:u w:val="single"/>
        </w:rPr>
      </w:pPr>
      <w:r>
        <w:rPr>
          <w:rFonts w:hint="eastAsia" w:ascii="宋体" w:hAnsi="宋体" w:eastAsia="宋体" w:cs="宋体"/>
          <w:color w:val="auto"/>
          <w:sz w:val="24"/>
          <w:highlight w:val="none"/>
          <w:u w:val="single"/>
        </w:rPr>
        <w:t xml:space="preserve">   （采购代理机构）    ：</w:t>
      </w:r>
      <w:r/>
    </w:p>
    <w:p>
      <w:pPr>
        <w:pStyle w:val="703"/>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我们收到贵公司</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szCs w:val="24"/>
          <w:highlight w:val="none"/>
        </w:rPr>
        <w:t xml:space="preserve">号采购文件，经仔细阅读和研究，我们决定参加磋商活动。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1、我们愿意按照采购文件的一切要求，完成该项目的全部内容。</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2、如果我们的磋商响应文件被接受，我们将严格履行采购文件中规定的每一项要求，按期、按质、按量履行合同的义务。</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3、我们已详细阅读全部采购文件，包括更正公告（如有），对采购文件及更正公告（如有）无任何异议。我们完全理解并同意放弃对这方面有不明及误解的权力。</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4、我们同意按采购文件中的规定，本响应文件的有效期限自提交响应文件截止时间之日起</w:t>
      </w:r>
      <w:r>
        <w:rPr>
          <w:rFonts w:hint="eastAsia" w:ascii="宋体" w:hAnsi="宋体" w:cs="宋体"/>
          <w:color w:val="auto"/>
          <w:sz w:val="24"/>
          <w:highlight w:val="none"/>
          <w:u w:val="single"/>
        </w:rPr>
        <w:t xml:space="preserve"> 90 </w:t>
      </w:r>
      <w:r>
        <w:rPr>
          <w:rFonts w:hint="eastAsia" w:ascii="宋体" w:hAnsi="宋体" w:eastAsia="宋体" w:cs="宋体"/>
          <w:color w:val="auto"/>
          <w:sz w:val="24"/>
          <w:highlight w:val="none"/>
        </w:rPr>
        <w:t xml:space="preserve">天。</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5、我们愿意提供采购人在采购文件中要求的所有资料。</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6、我们愿意遵守采购文件中所列的收费标准。</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7、我们承诺该响应文件在磋商开始后的全过程中保持有效，不作任何更改和变动。</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8、我们承诺我公司符合竞争性磋商采购公告中“申请人的资格要求”的要求，若与真实情况不符，本公司愿意承担由此而产生的一切后果。</w:t>
      </w:r>
      <w:r/>
    </w:p>
    <w:p>
      <w:pPr>
        <w:ind w:firstLine="480"/>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9、所有有关采购文件的函电，请按下列地址联系：</w:t>
      </w:r>
      <w:r/>
    </w:p>
    <w:p>
      <w:pPr>
        <w:pStyle w:val="703"/>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                             联系人：</w:t>
      </w:r>
      <w:r/>
    </w:p>
    <w:p>
      <w:pPr>
        <w:pStyle w:val="703"/>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pStyle w:val="703"/>
        <w:ind w:firstLine="48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联系电话：                         传真：</w:t>
      </w:r>
      <w:r/>
    </w:p>
    <w:p>
      <w:pPr>
        <w:pStyle w:val="703"/>
        <w:ind w:left="3400"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03"/>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pStyle w:val="703"/>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703"/>
        <w:spacing w:line="360" w:lineRule="auto"/>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b/>
          <w:bCs/>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3、开标一览表（第一次）</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795"/>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具体按“苏采云”系统填报</w:t>
      </w:r>
      <w:r/>
    </w:p>
    <w:tbl>
      <w:tblPr>
        <w:tblStyle w:val="665"/>
        <w:tblW w:w="9089"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1"/>
        <w:gridCol w:w="4978"/>
      </w:tblGrid>
      <w:tr>
        <w:trPr>
          <w:trHeight w:val="577"/>
        </w:trPr>
        <w:tc>
          <w:tcPr>
            <w:tcW w:w="4111"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en-US" w:bidi="ar-SA"/>
              </w:rPr>
              <w:t xml:space="preserve">项目名称</w:t>
            </w:r>
            <w:r/>
          </w:p>
        </w:tc>
        <w:tc>
          <w:tcPr>
            <w:tcW w:w="4978" w:type="dxa"/>
            <w:vAlign w:val="center"/>
            <w:textDirection w:val="lrTb"/>
            <w:noWrap w:val="false"/>
          </w:tcPr>
          <w:p>
            <w:pPr>
              <w:jc w:val="center"/>
              <w:widowControl w:val="off"/>
              <w:rPr>
                <w:rFonts w:ascii="宋体" w:hAnsi="宋体" w:eastAsia="宋体" w:cs="宋体"/>
                <w:b/>
                <w:color w:val="auto"/>
                <w:sz w:val="24"/>
                <w:szCs w:val="24"/>
                <w:highlight w:val="none"/>
              </w:rPr>
            </w:pPr>
            <w:r>
              <w:rPr>
                <w:rFonts w:hint="eastAsia" w:ascii="Times New Roman" w:hAnsi="宋体" w:eastAsia="宋体" w:cs="Times New Roman"/>
                <w:b/>
                <w:color w:val="auto"/>
                <w:sz w:val="24"/>
                <w:szCs w:val="24"/>
                <w:highlight w:val="none"/>
                <w:lang w:val="en-US" w:eastAsia="en-US" w:bidi="ar-SA"/>
              </w:rPr>
              <w:t xml:space="preserve">响应报价（元）</w:t>
            </w:r>
            <w:r/>
          </w:p>
        </w:tc>
      </w:tr>
      <w:tr>
        <w:trPr>
          <w:trHeight w:val="979"/>
        </w:trPr>
        <w:tc>
          <w:tcPr>
            <w:tcW w:w="4111" w:type="dxa"/>
            <w:vAlign w:val="center"/>
            <w:textDirection w:val="lrTb"/>
            <w:noWrap w:val="false"/>
          </w:tcPr>
          <w:p>
            <w:pPr>
              <w:jc w:val="center"/>
              <w:widowControl w:val="off"/>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东渚街道2026-2028年度社区居家养老服务设施社会化运营 </w:t>
            </w:r>
            <w:r/>
          </w:p>
        </w:tc>
        <w:tc>
          <w:tcPr>
            <w:tcW w:w="4978" w:type="dxa"/>
            <w:vAlign w:val="center"/>
            <w:textDirection w:val="lrTb"/>
            <w:noWrap w:val="false"/>
          </w:tcPr>
          <w:p>
            <w:pPr>
              <w:pStyle w:val="1012"/>
              <w:jc w:val="both"/>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人民币（大写）：</w:t>
            </w:r>
            <w:r/>
          </w:p>
          <w:p>
            <w:pPr>
              <w:pStyle w:val="1013"/>
              <w:jc w:val="left"/>
              <w:widowControl w:val="off"/>
              <w:rPr>
                <w:rFonts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val="en-US" w:eastAsia="en-US" w:bidi="ar-SA"/>
              </w:rPr>
              <w:t xml:space="preserve">人民币（小写）：</w:t>
            </w:r>
            <w:r>
              <w:rPr>
                <w:rFonts w:ascii="Arial" w:hAnsi="Arial" w:eastAsia="宋体" w:cs="Arial"/>
                <w:bCs/>
                <w:color w:val="auto"/>
                <w:sz w:val="24"/>
                <w:szCs w:val="24"/>
                <w:highlight w:val="none"/>
                <w:lang w:val="en-US" w:eastAsia="en-US" w:bidi="ar-SA"/>
              </w:rPr>
              <w:t xml:space="preserve">¥</w:t>
            </w:r>
            <w:r/>
          </w:p>
        </w:tc>
      </w:tr>
    </w:tbl>
    <w:p>
      <w:pPr>
        <w:pStyle w:val="770"/>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2"/>
        </w:numPr>
        <w:jc w:val="left"/>
        <w:spacing w:line="360" w:lineRule="auto"/>
        <w:rPr>
          <w:rFonts w:hint="eastAsia" w:ascii="宋体" w:hAnsi="宋体" w:cs="宋体"/>
          <w:b/>
          <w:color w:val="auto"/>
          <w:sz w:val="24"/>
          <w:highlight w:val="none"/>
          <w:lang w:val="en-US" w:eastAsia="zh-CN"/>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磋商报价明细表</w:t>
      </w:r>
      <w:r/>
    </w:p>
    <w:tbl>
      <w:tblPr>
        <w:tblStyle w:val="665"/>
        <w:tblW w:w="902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155"/>
        <w:gridCol w:w="1155"/>
        <w:gridCol w:w="2391"/>
      </w:tblGrid>
      <w:tr>
        <w:trPr>
          <w:trHeight w:val="405"/>
        </w:trPr>
        <w:tc>
          <w:tcPr>
            <w:gridSpan w:val="7"/>
            <w:shd w:val="clear" w:color="auto" w:fill="auto"/>
            <w:tcBorders>
              <w:top w:val="single" w:color="000000" w:sz="8"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一标段</w:t>
            </w:r>
            <w:r/>
          </w:p>
        </w:tc>
      </w:tr>
      <w:tr>
        <w:trPr>
          <w:trHeight w:val="315"/>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项目清单</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科目名称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分项内容</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每月单价（元）</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2年预算总价（元）</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54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105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龙惠综合为老服务中心（2026年7月-2028年6月）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人力经费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5人</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restart"/>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354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主管1名，护士1名，工作人员3名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因站点设有医养结合的部分，所以需要独立的护士</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none" w:color="000000" w:sz="4" w:space="0"/>
              <w:left w:val="single" w:color="000000" w:sz="8" w:space="0"/>
              <w:bottom w:val="single" w:color="000000" w:sz="8" w:space="0"/>
              <w:right w:val="single" w:color="000000" w:sz="8" w:space="0"/>
            </w:tcBorders>
            <w:tcW w:w="354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详见活动清单</w:t>
            </w:r>
            <w:r/>
          </w:p>
        </w:tc>
      </w:tr>
      <w:tr>
        <w:trPr>
          <w:trHeight w:val="36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354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1、通信、网络、电视等费用（日照日常老人联络、订餐确认、活动通知、节日慰问、入户预约相关工作等）                     2、清洁费用及耗材（口罩，消毒液，垃圾袋等）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3、报刊杂志费，5至6种报纸及杂志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4、各类厨具、电器、康复设施、家具等设施设备的维护维修。                        5、管理费（场地险、日常办公耗材、税费等）</w:t>
            </w:r>
            <w:r/>
          </w:p>
        </w:tc>
      </w:tr>
      <w:tr>
        <w:trPr>
          <w:trHeight w:val="300"/>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投标总报价：人民币      （</w:t>
            </w:r>
            <w:r>
              <w:rPr>
                <w:rStyle w:val="1014"/>
                <w:rFonts w:eastAsia="宋体"/>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      ）</w:t>
            </w:r>
            <w:r/>
          </w:p>
        </w:tc>
      </w:tr>
      <w:tr>
        <w:trPr>
          <w:trHeight w:val="315"/>
        </w:trPr>
        <w:tc>
          <w:tcPr>
            <w:gridSpan w:val="7"/>
            <w:shd w:val="clear" w:color="auto" w:fill="auto"/>
            <w:tcBorders>
              <w:top w:val="none" w:color="000000" w:sz="4" w:space="0"/>
              <w:left w:val="single" w:color="000000" w:sz="8" w:space="0"/>
              <w:bottom w:val="none" w:color="000000" w:sz="4"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活动明细清单</w:t>
            </w:r>
            <w:r/>
          </w:p>
        </w:tc>
      </w:tr>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日间照料名称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活动明细</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场</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场次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合价</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次/年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（元）</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12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龙惠综合为老服务中心（2026年7月-2028年6月）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主题活动    （节日娱乐类）</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结合传统节日等开展主题活动，每月开展一次主题活动。</w:t>
            </w:r>
            <w:r/>
          </w:p>
        </w:tc>
      </w:tr>
      <w:tr>
        <w:trPr>
          <w:trHeight w:val="256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专题讲座</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开展技能培训、健康养生、智能机运营技术、认知障碍家庭照料等讲座等讲座，每月开展一次专题讲座。</w:t>
            </w:r>
            <w:r/>
          </w:p>
        </w:tc>
      </w:tr>
      <w:tr>
        <w:trPr>
          <w:trHeight w:val="2227"/>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兴趣小组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开展休闲娱乐活动，提供图书阅览、视听影音、绘画书法、手工制作等小组活动，每月开展活动不少于3次，全年开展兴趣小组类别活动不少于5种。</w:t>
            </w:r>
            <w:r/>
          </w:p>
        </w:tc>
      </w:tr>
      <w:tr>
        <w:trPr>
          <w:trHeight w:val="2018"/>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志愿者团队（培育及活动）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组建不少于15人的志愿者服务队伍，开展空巢独居、困难老年慰问，每月开展一次志愿者团队活动。 </w:t>
            </w:r>
            <w:r/>
          </w:p>
        </w:tc>
      </w:tr>
      <w:tr>
        <w:trPr>
          <w:trHeight w:val="207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健康管理活动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restart"/>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1、引入专业力量开展拔罐、针灸、推拿等中医特色康复理疗服务；</w:t>
            </w:r>
            <w:r/>
          </w:p>
        </w:tc>
      </w:tr>
      <w:tr>
        <w:trPr>
          <w:trHeight w:val="103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与医疗机构合作，开展基础医疗、护理服务；</w:t>
            </w:r>
            <w:r/>
          </w:p>
        </w:tc>
      </w:tr>
      <w:tr>
        <w:trPr>
          <w:trHeight w:val="205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2、开展量血压、测血糖等基本医疗卫生服务，专业人士指导老人进行适宜运动、膳食营养。</w:t>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每月开展一次健康管理活动。</w:t>
            </w:r>
            <w:r/>
          </w:p>
        </w:tc>
      </w:tr>
      <w:tr>
        <w:trPr>
          <w:trHeight w:val="231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心理慰藉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提供包括但不限于情绪疏导、心理咨询、危机干预、心理赋能等心理服务，每两月开展一次。</w:t>
            </w:r>
            <w:r/>
          </w:p>
        </w:tc>
      </w:tr>
      <w:tr>
        <w:trPr>
          <w:trHeight w:val="1545"/>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便民咨询</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理发、修理小家电、健康咨询、法律咨询等，每两月开展一次。</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05"/>
        </w:trPr>
        <w:tc>
          <w:tcPr>
            <w:gridSpan w:val="7"/>
            <w:shd w:val="clear" w:color="auto" w:fill="auto"/>
            <w:tcBorders>
              <w:top w:val="single" w:color="000000" w:sz="8"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二标段</w:t>
            </w:r>
            <w:r/>
          </w:p>
        </w:tc>
      </w:tr>
      <w:tr>
        <w:trPr>
          <w:trHeight w:val="315"/>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项目清单</w:t>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科目名称</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分项内容</w:t>
            </w:r>
            <w:r/>
          </w:p>
        </w:tc>
        <w:tc>
          <w:tcPr>
            <w:shd w:val="clear" w:color="auto" w:fill="auto"/>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每月单价（元）</w:t>
            </w:r>
            <w:r/>
          </w:p>
        </w:tc>
        <w:tc>
          <w:tcPr>
            <w:shd w:val="clear" w:color="auto" w:fill="auto"/>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2年预算总价（元）</w:t>
            </w:r>
            <w:r/>
          </w:p>
        </w:tc>
        <w:tc>
          <w:tcPr>
            <w:shd w:val="clear" w:color="auto" w:fill="auto"/>
            <w:tcBorders>
              <w:top w:val="none" w:color="000000" w:sz="4" w:space="0"/>
              <w:left w:val="none" w:color="000000" w:sz="4" w:space="0"/>
              <w:bottom w:val="single" w:color="000000" w:sz="8"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龙景南区日间照料中心运营管理及服务（2026年7月-2028年6月）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主管1名，工作人员3名</w:t>
            </w:r>
            <w:r/>
          </w:p>
        </w:tc>
      </w:tr>
      <w:tr>
        <w:trPr>
          <w:trHeight w:val="54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详见活动清单</w:t>
            </w:r>
            <w:r/>
          </w:p>
        </w:tc>
      </w:tr>
      <w:tr>
        <w:trPr>
          <w:trHeight w:val="706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管理费及税费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8" w:space="0"/>
              <w:bottom w:val="none" w:color="000000" w:sz="4"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3、报刊杂志费，5至6种报纸及杂志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4、各类厨具、电器、康复设施等设施设备维修                            5、管理费（场地险、日常办公耗材、税费等）</w:t>
            </w:r>
            <w:r/>
          </w:p>
        </w:tc>
      </w:tr>
      <w:tr>
        <w:trPr>
          <w:trHeight w:val="300"/>
        </w:trPr>
        <w:tc>
          <w:tcPr>
            <w:gridSpan w:val="5"/>
            <w:shd w:val="clear" w:color="auto" w:fill="auto"/>
            <w:tcBorders>
              <w:top w:val="single" w:color="000000" w:sz="8" w:space="0"/>
              <w:left w:val="single" w:color="000000" w:sz="8" w:space="0"/>
              <w:bottom w:val="single" w:color="000000" w:sz="8" w:space="0"/>
              <w:right w:val="single" w:color="000000" w:sz="8" w:space="0"/>
            </w:tcBorders>
            <w:tcW w:w="5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科目名称</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分项内容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每月单价（元）</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2年预算总价（元）</w:t>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trHeight w:val="79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龙景七区日间照料中心运营管理及服务（2026年7月-2028年6月）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人员经费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主管1名，工作人员3名</w:t>
            </w:r>
            <w:r/>
          </w:p>
        </w:tc>
      </w:tr>
      <w:tr>
        <w:trPr>
          <w:trHeight w:val="54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活动经费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详见活动清单</w:t>
            </w:r>
            <w:r/>
          </w:p>
        </w:tc>
      </w:tr>
      <w:tr>
        <w:trPr>
          <w:trHeight w:val="7460"/>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管理费及税费</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2年</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3、报刊杂志费，5至6种报纸及杂志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4、各类厨具、电器、康复设施等设施设备维修                            5、管理费（场地险、日常办公耗材、税费等）</w:t>
            </w:r>
            <w:r/>
          </w:p>
        </w:tc>
      </w:tr>
      <w:tr>
        <w:trPr>
          <w:trHeight w:val="300"/>
        </w:trPr>
        <w:tc>
          <w:tcPr>
            <w:gridSpan w:val="5"/>
            <w:shd w:val="clear" w:color="auto" w:fill="auto"/>
            <w:tcBorders>
              <w:top w:val="none" w:color="000000" w:sz="4" w:space="0"/>
              <w:left w:val="single" w:color="000000" w:sz="8" w:space="0"/>
              <w:bottom w:val="single" w:color="000000" w:sz="8" w:space="0"/>
              <w:right w:val="single" w:color="000000" w:sz="8" w:space="0"/>
            </w:tcBorders>
            <w:tcW w:w="54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300"/>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投标总报价：人民币      （</w:t>
            </w:r>
            <w:r>
              <w:rPr>
                <w:rStyle w:val="1014"/>
                <w:rFonts w:eastAsia="宋体"/>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      ）</w:t>
            </w:r>
            <w:r/>
          </w:p>
        </w:tc>
      </w:tr>
      <w:tr>
        <w:trPr>
          <w:trHeight w:val="315"/>
        </w:trPr>
        <w:tc>
          <w:tcPr>
            <w:gridSpan w:val="7"/>
            <w:shd w:val="clear" w:color="auto" w:fill="auto"/>
            <w:tcBorders>
              <w:top w:val="none" w:color="000000" w:sz="4" w:space="0"/>
              <w:left w:val="single" w:color="000000" w:sz="8" w:space="0"/>
              <w:bottom w:val="single" w:color="000000" w:sz="8" w:space="0"/>
              <w:right w:val="single" w:color="000000" w:sz="8" w:space="0"/>
            </w:tcBorders>
            <w:tcW w:w="902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活动明细</w:t>
            </w:r>
            <w:r/>
          </w:p>
        </w:tc>
      </w:tr>
      <w:tr>
        <w:trPr>
          <w:trHeight w:val="5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日间照料名称</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活动明细</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场</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场次</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合价</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6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次/年</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（元/场）</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（元）</w:t>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vMerge w:val="continue"/>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r>
      <w:tr>
        <w:trPr>
          <w:trHeight w:val="19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龙景南区日间照料中心运营管理及服务（2026年7月-2028年6月）</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15"/>
                <w:lang w:val="en-US" w:eastAsia="zh-CN" w:bidi="ar"/>
              </w:rPr>
              <w:t xml:space="preserve">主题活动    （节日娱乐类）</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结合传统节日等开展主题活动，每月开展一次主题活动。</w:t>
            </w:r>
            <w:r/>
          </w:p>
        </w:tc>
      </w:tr>
      <w:tr>
        <w:trPr>
          <w:trHeight w:val="28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专题讲座</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开展技能培训、健康养生、智能机运营技术、认知障碍家庭照料等讲座等讲座，每月开展一次专题讲座。</w:t>
            </w:r>
            <w:r/>
          </w:p>
        </w:tc>
      </w:tr>
      <w:tr>
        <w:trPr>
          <w:trHeight w:val="38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15"/>
                <w:lang w:val="en-US" w:eastAsia="zh-CN" w:bidi="ar"/>
              </w:rPr>
              <w:t xml:space="preserve">兴趣小组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300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15"/>
                <w:lang w:val="en-US" w:eastAsia="zh-CN" w:bidi="ar"/>
              </w:rPr>
              <w:t xml:space="preserve">志愿者团队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组建不少于15人的志愿者服务队伍，开展空巢独居、困难老年慰问，每月开展一次志愿者团队活动。 </w:t>
            </w:r>
            <w:r/>
          </w:p>
        </w:tc>
      </w:tr>
      <w:tr>
        <w:trPr>
          <w:trHeight w:val="624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健康管理活动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1、引入专业力量开展拔罐、针灸、推拿等中医特色康复理疗服务；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与医疗机构合作，开展基础医疗、护理服务；2、开展量血压、测血糖等基本医疗卫生服务，专业人士指导老人进行适宜运动、膳食营养。每月开展一次健康管理活动。</w:t>
            </w:r>
            <w:r/>
          </w:p>
        </w:tc>
      </w:tr>
      <w:tr>
        <w:trPr>
          <w:trHeight w:val="268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心理慰藉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提供包括但不限于情绪疏导、心理咨询、危机干预、心理赋能等心理类服务，每两月开展一次。</w:t>
            </w:r>
            <w:r/>
          </w:p>
        </w:tc>
      </w:tr>
      <w:tr>
        <w:trPr>
          <w:trHeight w:val="1920"/>
        </w:trPr>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便民咨询</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理发、修理小家电、健康咨询、法律咨询等，每两月开展一次。</w:t>
            </w:r>
            <w:r/>
          </w:p>
        </w:tc>
      </w:tr>
      <w:tr>
        <w:trPr>
          <w:trHeight w:val="315"/>
        </w:trPr>
        <w:tc>
          <w:tcPr>
            <w:gridSpan w:val="2"/>
            <w:shd w:val="clear" w:color="auto" w:fill="auto"/>
            <w:tcBorders>
              <w:top w:val="none" w:color="000000" w:sz="4" w:space="0"/>
              <w:left w:val="single" w:color="000000" w:sz="8" w:space="0"/>
              <w:bottom w:val="none" w:color="000000" w:sz="4" w:space="0"/>
              <w:right w:val="single" w:color="000000" w:sz="8" w:space="0"/>
            </w:tcBorders>
            <w:tcW w:w="21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none" w:color="000000" w:sz="4" w:space="0"/>
              <w:left w:val="single" w:color="000000" w:sz="8" w:space="0"/>
              <w:bottom w:val="none" w:color="000000" w:sz="4" w:space="0"/>
              <w:right w:val="single" w:color="000000" w:sz="8" w:space="0"/>
            </w:tcBorders>
            <w:tcW w:w="1080" w:type="dxa"/>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none" w:color="000000" w:sz="4" w:space="0"/>
              <w:left w:val="single" w:color="000000" w:sz="8" w:space="0"/>
              <w:bottom w:val="none" w:color="000000" w:sz="4" w:space="0"/>
              <w:right w:val="single" w:color="000000" w:sz="8" w:space="0"/>
            </w:tcBorders>
            <w:tcW w:w="108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168</w:t>
            </w:r>
            <w:r/>
          </w:p>
        </w:tc>
        <w:tc>
          <w:tcPr>
            <w:gridSpan w:val="3"/>
            <w:shd w:val="clear" w:color="auto" w:fill="auto"/>
            <w:tcBorders>
              <w:top w:val="single" w:color="000000" w:sz="8" w:space="0"/>
              <w:left w:val="single" w:color="000000" w:sz="8" w:space="0"/>
              <w:bottom w:val="single" w:color="000000" w:sz="8" w:space="0"/>
              <w:right w:val="single" w:color="000000" w:sz="8" w:space="0"/>
            </w:tcBorders>
            <w:tcW w:w="470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single"/>
              </w:rPr>
              <w:suppressLineNumbers w:val="0"/>
            </w:pPr>
            <w:r>
              <w:rPr>
                <w:rStyle w:val="1016"/>
                <w:lang w:val="en-US" w:eastAsia="zh-CN" w:bidi="ar"/>
              </w:rPr>
              <w:t xml:space="preserve">      </w:t>
            </w:r>
            <w:r>
              <w:rPr>
                <w:rStyle w:val="1015"/>
                <w:u w:val="single"/>
                <w:lang w:val="en-US" w:eastAsia="zh-CN" w:bidi="ar"/>
              </w:rPr>
              <w:t xml:space="preserve"> 元</w:t>
            </w:r>
            <w:r/>
          </w:p>
        </w:tc>
      </w:tr>
      <w:tr>
        <w:trPr>
          <w:trHeight w:val="192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龙景七区日间照料中心运营管理及服务（2026年7月-2028年6月）</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15"/>
                <w:lang w:val="en-US" w:eastAsia="zh-CN" w:bidi="ar"/>
              </w:rPr>
              <w:t xml:space="preserve">主题活动    （节日娱乐类）</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结合传统节日等开展主题活动，每月开展一次主题活动。</w:t>
            </w:r>
            <w:r/>
          </w:p>
        </w:tc>
      </w:tr>
      <w:tr>
        <w:trPr>
          <w:trHeight w:val="327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专题讲座</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开展技能培训、健康养生、智能机运营技术、认知障碍家庭照料等讲座等讲座，每月开展一次专题讲座。</w:t>
            </w:r>
            <w:r/>
          </w:p>
        </w:tc>
      </w:tr>
      <w:tr>
        <w:trPr>
          <w:trHeight w:val="435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15"/>
                <w:lang w:val="en-US" w:eastAsia="zh-CN" w:bidi="ar"/>
              </w:rPr>
              <w:t xml:space="preserve">兴趣小组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48</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30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Style w:val="1015"/>
                <w:lang w:val="en-US" w:eastAsia="zh-CN" w:bidi="ar"/>
              </w:rPr>
              <w:t xml:space="preserve">志愿者团队   （培育及活动）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组建不少于15人的志愿者服务队伍，开展空巢独居、困难老年慰问，每月开展一次志愿者团队活动。 </w:t>
            </w:r>
            <w:r/>
          </w:p>
        </w:tc>
      </w:tr>
      <w:tr>
        <w:trPr>
          <w:trHeight w:val="624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健康管理活动</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8"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1、引入专业力量开展拔罐、针灸、推拿等中医特色康复理疗服务；与医疗机构合作，开展基础医疗、护理服务；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2、开展量血压、测血糖等基本医疗卫生服务，专业人士指导老人进行适宜运动、膳食营养。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每月开展一次健康管理活动。</w:t>
            </w:r>
            <w:r/>
          </w:p>
        </w:tc>
      </w:tr>
      <w:tr>
        <w:trPr>
          <w:trHeight w:val="30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心理慰藉</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提供包括但不限于情绪疏导、心理咨询、危机干预、心理赋能等心理类服务，每两月开展一次。</w:t>
            </w:r>
            <w:r/>
          </w:p>
        </w:tc>
      </w:tr>
      <w:tr>
        <w:trPr>
          <w:trHeight w:val="192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便民咨询</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115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2391" w:type="dxa"/>
            <w:vAlign w:val="center"/>
            <w:textDirection w:val="lrTb"/>
            <w:noWrap w:val="false"/>
          </w:tcPr>
          <w:p>
            <w:pPr>
              <w:jc w:val="left"/>
              <w:keepLines w:val="0"/>
              <w:keepNext w:val="0"/>
              <w:widowControl/>
              <w:rPr>
                <w:rFonts w:hint="default" w:ascii="Arial" w:hAnsi="Arial" w:eastAsia="宋体" w:cs="Arial"/>
                <w:i w:val="0"/>
                <w:iCs w:val="0"/>
                <w:color w:val="000000"/>
                <w:sz w:val="22"/>
                <w:szCs w:val="22"/>
                <w:u w:val="none"/>
              </w:rPr>
              <w:suppressLineNumbers w:val="0"/>
            </w:pPr>
            <w:r>
              <w:rPr>
                <w:rFonts w:hint="default" w:ascii="Arial" w:hAnsi="Arial" w:eastAsia="宋体" w:cs="Arial"/>
                <w:i w:val="0"/>
                <w:iCs w:val="0"/>
                <w:color w:val="000000"/>
                <w:sz w:val="22"/>
                <w:szCs w:val="22"/>
                <w:u w:val="none"/>
                <w:lang w:val="en-US" w:eastAsia="zh-CN" w:bidi="ar"/>
              </w:rPr>
              <w:t xml:space="preserve">理发、修理小家电、健康咨询、法律咨询等，每两月开展一次。</w:t>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2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none" w:color="000000" w:sz="4" w:space="0"/>
              <w:left w:val="single" w:color="000000" w:sz="8" w:space="0"/>
              <w:bottom w:val="single" w:color="000000" w:sz="8" w:space="0"/>
              <w:right w:val="single" w:color="000000" w:sz="8" w:space="0"/>
            </w:tcBorders>
            <w:tcW w:w="1080" w:type="dxa"/>
            <w:vAlign w:val="center"/>
            <w:textDirection w:val="lrTb"/>
            <w:noWrap/>
          </w:tcPr>
          <w:p>
            <w:pPr>
              <w:jc w:val="center"/>
              <w:keepLines w:val="0"/>
              <w:keepNext w:val="0"/>
              <w:widowControl/>
              <w:rPr>
                <w:rFonts w:hint="default" w:ascii="宋体" w:hAnsi="宋体" w:eastAsia="宋体" w:cs="宋体"/>
                <w:i w:val="0"/>
                <w:iCs w:val="0"/>
                <w:color w:val="000000"/>
                <w:sz w:val="24"/>
                <w:szCs w:val="24"/>
                <w:u w:val="none"/>
                <w:lang w:val="en-US"/>
              </w:rPr>
              <w:suppressLineNumbers w:val="0"/>
            </w:pPr>
            <w:r>
              <w:rPr>
                <w:rFonts w:hint="eastAsia" w:ascii="宋体" w:hAnsi="宋体" w:cs="宋体"/>
                <w:i w:val="0"/>
                <w:iCs w:val="0"/>
                <w:color w:val="000000"/>
                <w:sz w:val="24"/>
                <w:szCs w:val="24"/>
                <w:u w:val="none"/>
                <w:lang w:val="en-US" w:eastAsia="zh-CN" w:bidi="ar"/>
              </w:rPr>
              <w:t xml:space="preserve">168</w:t>
            </w:r>
            <w:bookmarkStart w:id="32" w:name="_GoBack"/>
            <w:r/>
            <w:bookmarkEnd w:id="32"/>
            <w:r/>
            <w:r/>
          </w:p>
        </w:tc>
        <w:tc>
          <w:tcPr>
            <w:gridSpan w:val="3"/>
            <w:shd w:val="clear" w:color="auto" w:fill="auto"/>
            <w:tcBorders>
              <w:top w:val="none" w:color="000000" w:sz="4" w:space="0"/>
              <w:left w:val="single" w:color="000000" w:sz="8" w:space="0"/>
              <w:bottom w:val="single" w:color="000000" w:sz="8" w:space="0"/>
              <w:right w:val="single" w:color="000000" w:sz="8" w:space="0"/>
            </w:tcBorders>
            <w:tcW w:w="4701"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single"/>
              </w:rPr>
              <w:suppressLineNumbers w:val="0"/>
            </w:pPr>
            <w:r>
              <w:rPr>
                <w:rStyle w:val="1016"/>
                <w:lang w:val="en-US" w:eastAsia="zh-CN" w:bidi="ar"/>
              </w:rPr>
              <w:t xml:space="preserve">      </w:t>
            </w:r>
            <w:r>
              <w:rPr>
                <w:rStyle w:val="1015"/>
                <w:u w:val="single"/>
                <w:lang w:val="en-US" w:eastAsia="zh-CN" w:bidi="ar"/>
              </w:rPr>
              <w:t xml:space="preserve">元</w:t>
            </w:r>
            <w:r/>
          </w:p>
        </w:tc>
      </w:tr>
    </w:tbl>
    <w:p>
      <w:pPr>
        <w:jc w:val="both"/>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jc w:val="center"/>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供应商：（盖章）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法定代表人或代理人：（签字或盖章）</w:t>
      </w:r>
      <w:r/>
    </w:p>
    <w:p>
      <w:pPr>
        <w:ind w:firstLine="480"/>
        <w:spacing w:line="360" w:lineRule="auto"/>
        <w:rPr>
          <w:rFonts w:hint="eastAsia" w:ascii="宋体" w:hAnsi="宋体" w:cs="宋体"/>
          <w:color w:val="auto"/>
          <w:sz w:val="24"/>
          <w:highlight w:val="none"/>
        </w:rPr>
      </w:pPr>
      <w:r>
        <w:rPr>
          <w:rFonts w:ascii="宋体" w:hAnsi="宋体" w:eastAsia="宋体" w:cs="宋体"/>
          <w:color w:val="auto"/>
          <w:sz w:val="24"/>
          <w:highlight w:val="none"/>
        </w:rPr>
        <w:t xml:space="preserve">日期：      年    月    日</w:t>
      </w:r>
      <w:r/>
    </w:p>
    <w:p>
      <w:pPr>
        <w:ind w:firstLine="480"/>
        <w:spacing w:line="360" w:lineRule="auto"/>
        <w:rPr>
          <w:rFonts w:hint="eastAsia" w:ascii="宋体" w:hAnsi="宋体" w:cs="宋体"/>
          <w:b/>
          <w:bCs/>
          <w:color w:val="auto"/>
          <w:sz w:val="24"/>
          <w:highlight w:val="none"/>
        </w:rPr>
      </w:pPr>
      <w:r>
        <w:rPr>
          <w:rFonts w:hint="eastAsia" w:ascii="宋体" w:hAnsi="宋体" w:eastAsia="宋体" w:cs="宋体"/>
          <w:b/>
          <w:bCs/>
          <w:color w:val="auto"/>
          <w:sz w:val="24"/>
          <w:highlight w:val="none"/>
          <w:lang w:val="en-US" w:eastAsia="zh-CN"/>
        </w:rPr>
        <w:t xml:space="preserve">注：</w:t>
      </w:r>
      <w:r>
        <w:rPr>
          <w:rFonts w:hint="eastAsia" w:ascii="宋体" w:hAnsi="宋体" w:cs="宋体"/>
          <w:b/>
          <w:bCs/>
          <w:color w:val="auto"/>
          <w:sz w:val="24"/>
          <w:highlight w:val="none"/>
          <w:lang w:val="en-US" w:eastAsia="zh-CN"/>
        </w:rPr>
        <w:t xml:space="preserve">1、</w:t>
      </w:r>
      <w:r>
        <w:rPr>
          <w:rFonts w:hint="eastAsia" w:ascii="宋体" w:hAnsi="宋体" w:eastAsia="宋体" w:cs="宋体"/>
          <w:b/>
          <w:bCs/>
          <w:color w:val="auto"/>
          <w:sz w:val="24"/>
          <w:highlight w:val="none"/>
          <w:lang w:val="en-US" w:eastAsia="zh-CN"/>
        </w:rPr>
        <w:t xml:space="preserve">活动清单报价明细表中合计金额需与运营管理报价明细表中活动经费合计金额一致</w:t>
      </w:r>
      <w:r>
        <w:rPr>
          <w:rFonts w:hint="eastAsia" w:ascii="宋体" w:hAnsi="宋体" w:cs="宋体"/>
          <w:b/>
          <w:bCs/>
          <w:color w:val="auto"/>
          <w:sz w:val="24"/>
          <w:highlight w:val="none"/>
          <w:lang w:val="en-US" w:eastAsia="zh-CN"/>
        </w:rPr>
        <w:t xml:space="preserve">。</w:t>
      </w:r>
      <w:r/>
    </w:p>
    <w:p>
      <w:pPr>
        <w:ind w:firstLine="480"/>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lang w:val="en-US" w:eastAsia="zh-CN"/>
        </w:rPr>
        <w:t xml:space="preserve">2、本表中的报价为综合报价应包含</w:t>
      </w:r>
      <w:r>
        <w:rPr>
          <w:rFonts w:hint="eastAsia" w:hAnsi="宋体"/>
          <w:b/>
          <w:bCs/>
          <w:color w:val="auto"/>
          <w:sz w:val="24"/>
          <w:szCs w:val="24"/>
          <w:highlight w:val="none"/>
        </w:rPr>
        <w:t xml:space="preserve">人员（包括工资和补贴）、</w:t>
      </w:r>
      <w:r>
        <w:rPr>
          <w:rFonts w:hint="eastAsia" w:hAnsi="宋体"/>
          <w:b/>
          <w:bCs/>
          <w:color w:val="auto"/>
          <w:sz w:val="24"/>
          <w:szCs w:val="24"/>
          <w:highlight w:val="none"/>
          <w:lang w:val="en-US" w:eastAsia="zh-CN"/>
        </w:rPr>
        <w:t xml:space="preserve">活动经费、电梯维护经费及其它设施维护费、</w:t>
      </w:r>
      <w:r>
        <w:rPr>
          <w:rFonts w:hint="eastAsia" w:hAnsi="宋体"/>
          <w:b/>
          <w:bCs/>
          <w:color w:val="auto"/>
          <w:sz w:val="24"/>
          <w:szCs w:val="24"/>
          <w:highlight w:val="none"/>
        </w:rPr>
        <w:t xml:space="preserve">办公场所及设施、保险、劳保、管理、各种税费、利润、税金、代理服务费、政策性文件规定及合同包含的所有风险、责任等各项应有费用。</w:t>
      </w:r>
      <w:r>
        <w:rPr>
          <w:rFonts w:hint="eastAsia" w:ascii="宋体" w:hAnsi="宋体" w:cs="宋体"/>
          <w:b/>
          <w:bCs/>
          <w:color w:val="auto"/>
          <w:sz w:val="24"/>
          <w:szCs w:val="24"/>
          <w:highlight w:val="none"/>
        </w:rPr>
        <w:t xml:space="preserve">同时，除非合同条款中另有规定，否则，响应供应商所报价格在合同实施期间不因市场变化因素而变动。</w:t>
      </w:r>
      <w:r/>
    </w:p>
    <w:p>
      <w:pPr>
        <w:rPr>
          <w:rFonts w:hint="eastAsia" w:ascii="宋体" w:hAnsi="宋体" w:cs="宋体"/>
          <w:b/>
          <w:color w:val="auto"/>
          <w:sz w:val="24"/>
          <w:highlight w:val="none"/>
        </w:rPr>
      </w:pPr>
      <w:r>
        <w:rPr>
          <w:rFonts w:hint="eastAsia" w:ascii="宋体" w:hAnsi="宋体" w:cs="宋体"/>
          <w:b/>
          <w:bCs/>
          <w:color w:val="auto"/>
          <w:sz w:val="24"/>
          <w:szCs w:val="24"/>
          <w:highlight w:val="none"/>
          <w:lang w:val="en-US" w:eastAsia="zh-CN"/>
        </w:rPr>
        <w:t xml:space="preserve">    3、报价明细表最终投标总价需和开标一览表投标总价保持一致，否则以开标一览表投标总价为准。</w:t>
      </w:r>
      <w:r>
        <w:rPr>
          <w:rFonts w:hint="eastAsia" w:ascii="宋体" w:hAnsi="宋体" w:cs="宋体"/>
          <w:b/>
          <w:color w:val="auto"/>
          <w:sz w:val="24"/>
          <w:highlight w:val="none"/>
        </w:rPr>
        <w:br w:type="page" w:clear="all"/>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60" w:lineRule="auto"/>
        <w:rPr>
          <w:rFonts w:ascii="宋体" w:hAnsi="宋体" w:cs="宋体"/>
          <w:b/>
          <w:bCs/>
          <w:color w:val="auto"/>
          <w:sz w:val="24"/>
          <w:highlight w:val="none"/>
        </w:rPr>
      </w:pPr>
      <w:r>
        <w:rPr>
          <w:rFonts w:ascii="宋体" w:hAnsi="宋体" w:cs="宋体"/>
          <w:b/>
          <w:bCs/>
          <w:color w:val="auto"/>
          <w:sz w:val="24"/>
          <w:highlight w:val="none"/>
        </w:rPr>
      </w:r>
      <w:r/>
    </w:p>
    <w:p>
      <w:pPr>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服务要求偏离表</w:t>
      </w:r>
      <w:r/>
    </w:p>
    <w:p>
      <w:pPr>
        <w:jc w:val="center"/>
        <w:spacing w:line="360" w:lineRule="auto"/>
        <w:rPr>
          <w:rStyle w:val="999"/>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Style w:val="999"/>
          <w:rFonts w:hint="eastAsia" w:ascii="宋体" w:hAnsi="宋体" w:cs="宋体"/>
          <w:b/>
          <w:color w:val="auto"/>
          <w:sz w:val="24"/>
          <w:highlight w:val="none"/>
        </w:rPr>
      </w:pPr>
      <w:r>
        <w:rPr>
          <w:rStyle w:val="999"/>
          <w:rFonts w:ascii="宋体" w:hAnsi="宋体" w:eastAsia="宋体" w:cs="宋体"/>
          <w:b/>
          <w:color w:val="auto"/>
          <w:sz w:val="24"/>
          <w:highlight w:val="none"/>
        </w:rPr>
        <w:t xml:space="preserve">服务要求偏离表</w:t>
      </w:r>
      <w:r/>
    </w:p>
    <w:tbl>
      <w:tblPr>
        <w:tblStyle w:val="665"/>
        <w:tblW w:w="9144"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序号</w:t>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项目名称</w:t>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采购要求</w:t>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响应要求</w:t>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偏离/响应</w:t>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说明</w:t>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82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80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2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440"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699"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757" w:type="dxa"/>
            <w:vAlign w:val="center"/>
            <w:textDirection w:val="lrTb"/>
            <w:noWrap w:val="false"/>
          </w:tcPr>
          <w:p>
            <w:pPr>
              <w:jc w:val="center"/>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ind w:firstLine="482"/>
        <w:rPr>
          <w:rStyle w:val="999"/>
          <w:rFonts w:hint="eastAsia" w:ascii="宋体" w:hAnsi="宋体" w:cs="宋体"/>
          <w:b/>
          <w:color w:val="auto"/>
          <w:sz w:val="24"/>
          <w:highlight w:val="none"/>
        </w:rPr>
      </w:pPr>
      <w:r>
        <w:rPr>
          <w:rStyle w:val="999"/>
          <w:rFonts w:ascii="宋体" w:hAnsi="宋体" w:eastAsia="宋体" w:cs="宋体"/>
          <w:b/>
          <w:color w:val="auto"/>
          <w:sz w:val="24"/>
          <w:highlight w:val="none"/>
        </w:rPr>
        <w:t xml:space="preserve">注：1</w:t>
      </w:r>
      <w:r>
        <w:rPr>
          <w:rStyle w:val="999"/>
          <w:rFonts w:hint="eastAsia" w:ascii="宋体" w:hAnsi="宋体" w:cs="宋体"/>
          <w:b/>
          <w:color w:val="auto"/>
          <w:sz w:val="24"/>
          <w:highlight w:val="none"/>
        </w:rPr>
        <w:t xml:space="preserve">.</w:t>
      </w:r>
      <w:r>
        <w:rPr>
          <w:rStyle w:val="999"/>
          <w:rFonts w:ascii="宋体" w:hAnsi="宋体" w:eastAsia="宋体" w:cs="宋体"/>
          <w:b/>
          <w:color w:val="auto"/>
          <w:sz w:val="24"/>
          <w:highlight w:val="none"/>
        </w:rPr>
        <w:t xml:space="preserve">响应人应对照磋商文件服务要求等要求，所</w:t>
      </w:r>
      <w:r>
        <w:rPr>
          <w:rStyle w:val="999"/>
          <w:rFonts w:hint="eastAsia" w:ascii="宋体" w:hAnsi="宋体" w:eastAsia="宋体" w:cs="宋体"/>
          <w:b/>
          <w:color w:val="auto"/>
          <w:sz w:val="24"/>
          <w:highlight w:val="none"/>
        </w:rPr>
        <w:t xml:space="preserve">响应</w:t>
      </w:r>
      <w:r>
        <w:rPr>
          <w:rStyle w:val="999"/>
          <w:rFonts w:ascii="宋体" w:hAnsi="宋体" w:eastAsia="宋体" w:cs="宋体"/>
          <w:b/>
          <w:color w:val="auto"/>
          <w:sz w:val="24"/>
          <w:highlight w:val="none"/>
        </w:rPr>
        <w:t xml:space="preserve">标的物与磋商文件的规定有偏离的，应在此表中申明与服务要求条文的偏差和例外。</w:t>
      </w:r>
      <w:r/>
    </w:p>
    <w:p>
      <w:pPr>
        <w:ind w:firstLine="482"/>
        <w:rPr>
          <w:rStyle w:val="999"/>
          <w:rFonts w:hint="eastAsia" w:ascii="宋体" w:hAnsi="宋体" w:cs="宋体"/>
          <w:color w:val="auto"/>
          <w:sz w:val="24"/>
          <w:highlight w:val="none"/>
        </w:rPr>
      </w:pPr>
      <w:r>
        <w:rPr>
          <w:rStyle w:val="999"/>
          <w:rFonts w:ascii="宋体" w:hAnsi="宋体" w:cs="宋体"/>
          <w:b/>
          <w:color w:val="auto"/>
          <w:sz w:val="24"/>
          <w:highlight w:val="none"/>
        </w:rPr>
        <w:t xml:space="preserve">2</w:t>
      </w:r>
      <w:r>
        <w:rPr>
          <w:rStyle w:val="999"/>
          <w:rFonts w:hint="eastAsia" w:ascii="宋体" w:hAnsi="宋体" w:cs="宋体"/>
          <w:b/>
          <w:color w:val="auto"/>
          <w:sz w:val="24"/>
          <w:highlight w:val="none"/>
        </w:rPr>
        <w:t xml:space="preserve">.</w:t>
      </w:r>
      <w:r>
        <w:rPr>
          <w:rStyle w:val="999"/>
          <w:rFonts w:ascii="宋体" w:hAnsi="宋体" w:eastAsia="宋体" w:cs="宋体"/>
          <w:b/>
          <w:color w:val="auto"/>
          <w:sz w:val="24"/>
          <w:highlight w:val="none"/>
        </w:rPr>
        <w:t xml:space="preserve">未在上表中说明的，如在响应文件其他内容中已有文字说明的，则以已有文字说明为准，否则，将被认为完全响应磋商文件的规定。但该表不作为响应人对所投服务关于服务要求等详细描述和说明的替代。</w:t>
      </w:r>
      <w:r/>
    </w:p>
    <w:p>
      <w:pPr>
        <w:rPr>
          <w:rStyle w:val="999"/>
          <w:rFonts w:hint="eastAsia" w:ascii="宋体" w:hAnsi="宋体" w:cs="宋体"/>
          <w:color w:val="auto"/>
          <w:sz w:val="24"/>
          <w:highlight w:val="none"/>
        </w:rPr>
      </w:pPr>
      <w:r>
        <w:rPr>
          <w:rFonts w:hint="eastAsia" w:ascii="宋体" w:hAnsi="宋体" w:cs="宋体"/>
          <w:color w:val="auto"/>
          <w:sz w:val="24"/>
          <w:highlight w:val="none"/>
        </w:rPr>
      </w:r>
      <w:r/>
    </w:p>
    <w:p>
      <w:pPr>
        <w:pStyle w:val="786"/>
        <w:ind w:firstLine="420"/>
        <w:rPr>
          <w:rFonts w:hint="eastAsia" w:ascii="宋体" w:hAnsi="宋体" w:cs="宋体"/>
          <w:color w:val="auto"/>
          <w:highlight w:val="none"/>
        </w:rPr>
      </w:pPr>
      <w:r>
        <w:rPr>
          <w:rFonts w:hint="eastAsia" w:ascii="宋体" w:hAnsi="宋体" w:cs="宋体"/>
          <w:color w:val="auto"/>
          <w:highlight w:val="none"/>
        </w:rPr>
      </w:r>
      <w:r/>
    </w:p>
    <w:p>
      <w:pPr>
        <w:spacing w:line="360" w:lineRule="auto"/>
        <w:rPr>
          <w:rStyle w:val="999"/>
          <w:rFonts w:hint="eastAsia" w:ascii="宋体" w:hAnsi="宋体" w:cs="宋体"/>
          <w:color w:val="auto"/>
          <w:sz w:val="24"/>
          <w:highlight w:val="none"/>
        </w:rPr>
      </w:pPr>
      <w:r>
        <w:rPr>
          <w:rStyle w:val="999"/>
          <w:rFonts w:ascii="宋体" w:hAnsi="宋体" w:eastAsia="宋体" w:cs="宋体"/>
          <w:color w:val="auto"/>
          <w:sz w:val="24"/>
          <w:highlight w:val="none"/>
        </w:rPr>
        <w:t xml:space="preserve">供应商：（盖章）</w:t>
      </w:r>
      <w:r/>
    </w:p>
    <w:p>
      <w:pPr>
        <w:spacing w:line="360" w:lineRule="auto"/>
        <w:rPr>
          <w:rStyle w:val="999"/>
          <w:rFonts w:hint="eastAsia" w:ascii="宋体" w:hAnsi="宋体" w:cs="宋体"/>
          <w:color w:val="auto"/>
          <w:sz w:val="24"/>
          <w:highlight w:val="none"/>
        </w:rPr>
      </w:pPr>
      <w:r>
        <w:rPr>
          <w:rStyle w:val="999"/>
          <w:rFonts w:ascii="宋体" w:hAnsi="宋体" w:eastAsia="宋体" w:cs="宋体"/>
          <w:color w:val="auto"/>
          <w:sz w:val="24"/>
          <w:highlight w:val="none"/>
        </w:rPr>
        <w:t xml:space="preserve">法定代表人或代理人：（签字或盖章）</w:t>
      </w:r>
      <w:r/>
    </w:p>
    <w:p>
      <w:pPr>
        <w:spacing w:line="360" w:lineRule="auto"/>
        <w:rPr>
          <w:rStyle w:val="999"/>
          <w:rFonts w:hint="eastAsia" w:ascii="宋体" w:hAnsi="宋体" w:cs="宋体"/>
          <w:color w:val="auto"/>
          <w:sz w:val="24"/>
          <w:highlight w:val="none"/>
        </w:rPr>
      </w:pPr>
      <w:r>
        <w:rPr>
          <w:rStyle w:val="999"/>
          <w:rFonts w:ascii="宋体" w:hAnsi="宋体" w:eastAsia="宋体" w:cs="宋体"/>
          <w:color w:val="auto"/>
          <w:sz w:val="24"/>
          <w:highlight w:val="none"/>
        </w:rPr>
        <w:t xml:space="preserve">日期：      年    月    日</w:t>
      </w:r>
      <w:r/>
    </w:p>
    <w:p>
      <w:pPr>
        <w:spacing w:line="400" w:lineRule="exact"/>
        <w:rPr>
          <w:rFonts w:hint="eastAsia" w:ascii="宋体" w:hAnsi="宋体" w:cs="宋体"/>
          <w:b/>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color w:val="auto"/>
          <w:sz w:val="24"/>
          <w:szCs w:val="24"/>
          <w:highlight w:val="none"/>
        </w:rPr>
        <w:t xml:space="preserve">6、商务条款偏离表</w:t>
      </w:r>
      <w:r/>
    </w:p>
    <w:p>
      <w:pPr>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001"/>
        <w:ind w:firstLine="0"/>
        <w:jc w:val="center"/>
        <w:widowControl w:val="off"/>
        <w:rPr>
          <w:rStyle w:val="999"/>
          <w:rFonts w:hint="eastAsia" w:ascii="宋体" w:hAnsi="宋体" w:cs="宋体"/>
          <w:b/>
          <w:color w:val="auto"/>
          <w:highlight w:val="none"/>
        </w:rPr>
      </w:pPr>
      <w:r>
        <w:rPr>
          <w:rStyle w:val="999"/>
          <w:rFonts w:ascii="宋体" w:hAnsi="宋体" w:eastAsia="宋体" w:cs="宋体"/>
          <w:b/>
          <w:color w:val="auto"/>
          <w:highlight w:val="none"/>
        </w:rPr>
        <w:t xml:space="preserve">商务条款偏离表</w:t>
      </w:r>
      <w:r/>
    </w:p>
    <w:tbl>
      <w:tblPr>
        <w:tblStyle w:val="665"/>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序号</w:t>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磋商文件条目号</w:t>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磋商文件的商务条款</w:t>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响应文件的商务条款</w:t>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Style w:val="999"/>
                <w:rFonts w:ascii="宋体" w:hAnsi="宋体" w:eastAsia="宋体" w:cs="宋体"/>
                <w:color w:val="auto"/>
                <w:sz w:val="24"/>
                <w:szCs w:val="22"/>
                <w:highlight w:val="none"/>
                <w:lang w:val="en-US" w:eastAsia="en-US" w:bidi="ar-SA"/>
              </w:rPr>
              <w:t xml:space="preserve">说明</w:t>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jc w:val="center"/>
        </w:trPr>
        <w:tc>
          <w:tcPr>
            <w:tcW w:w="708"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92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2400"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097" w:type="dxa"/>
            <w:vAlign w:val="center"/>
            <w:textDirection w:val="lrTb"/>
            <w:noWrap w:val="false"/>
          </w:tcPr>
          <w:p>
            <w:pPr>
              <w:jc w:val="center"/>
              <w:spacing w:before="240" w:after="240"/>
              <w:widowControl w:val="off"/>
              <w:rPr>
                <w:rStyle w:val="999"/>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bl>
    <w:p>
      <w:pPr>
        <w:pStyle w:val="1001"/>
        <w:spacing w:line="240" w:lineRule="auto"/>
        <w:widowControl w:val="off"/>
        <w:rPr>
          <w:rStyle w:val="999"/>
          <w:rFonts w:hint="eastAsia" w:ascii="宋体" w:hAnsi="宋体" w:cs="宋体"/>
          <w:b/>
          <w:color w:val="auto"/>
          <w:highlight w:val="none"/>
        </w:rPr>
      </w:pPr>
      <w:r>
        <w:rPr>
          <w:rStyle w:val="999"/>
          <w:rFonts w:ascii="宋体" w:hAnsi="宋体" w:eastAsia="宋体" w:cs="宋体"/>
          <w:b/>
          <w:color w:val="auto"/>
          <w:highlight w:val="none"/>
        </w:rPr>
        <w:t xml:space="preserve">注：响应人的响应文件与磋商文件规定的有偏离的，应在此表中说明。未在上表中说明的，如在响应文件其他内容中已有文字说明的，则以已有文字说明为准，否则，将被认为完全响应磋商文件的规定。但该表不作为响应人对所</w:t>
      </w:r>
      <w:r>
        <w:rPr>
          <w:rStyle w:val="999"/>
          <w:rFonts w:hint="eastAsia" w:ascii="宋体" w:hAnsi="宋体" w:eastAsia="宋体" w:cs="宋体"/>
          <w:b/>
          <w:color w:val="auto"/>
          <w:highlight w:val="none"/>
        </w:rPr>
        <w:t xml:space="preserve">响应</w:t>
      </w:r>
      <w:r>
        <w:rPr>
          <w:rStyle w:val="999"/>
          <w:rFonts w:ascii="宋体" w:hAnsi="宋体" w:eastAsia="宋体" w:cs="宋体"/>
          <w:b/>
          <w:color w:val="auto"/>
          <w:highlight w:val="none"/>
        </w:rPr>
        <w:t xml:space="preserve">的物关于商务条款等详细描述和说明的替代。</w:t>
      </w:r>
      <w:r/>
    </w:p>
    <w:p>
      <w:pPr>
        <w:ind w:firstLine="480"/>
        <w:spacing w:line="360" w:lineRule="auto"/>
        <w:rPr>
          <w:rStyle w:val="999"/>
          <w:rFonts w:hint="eastAsia" w:ascii="宋体" w:hAnsi="宋体" w:cs="宋体"/>
          <w:color w:val="auto"/>
          <w:sz w:val="24"/>
          <w:highlight w:val="none"/>
        </w:rPr>
      </w:pPr>
      <w:r>
        <w:rPr>
          <w:rFonts w:hint="eastAsia" w:ascii="宋体" w:hAnsi="宋体" w:cs="宋体"/>
          <w:color w:val="auto"/>
          <w:sz w:val="24"/>
          <w:highlight w:val="none"/>
        </w:rPr>
      </w:r>
      <w:r/>
    </w:p>
    <w:p>
      <w:pPr>
        <w:pStyle w:val="1001"/>
        <w:widowControl w:val="off"/>
        <w:rPr>
          <w:rStyle w:val="999"/>
          <w:rFonts w:hint="eastAsia" w:ascii="宋体" w:hAnsi="宋体" w:cs="宋体"/>
          <w:color w:val="auto"/>
          <w:highlight w:val="none"/>
        </w:rPr>
      </w:pPr>
      <w:r>
        <w:rPr>
          <w:rStyle w:val="999"/>
          <w:rFonts w:ascii="宋体" w:hAnsi="宋体" w:eastAsia="宋体" w:cs="宋体"/>
          <w:color w:val="auto"/>
          <w:highlight w:val="none"/>
        </w:rPr>
        <w:t xml:space="preserve">供应商：（盖章）</w:t>
      </w:r>
      <w:r/>
    </w:p>
    <w:p>
      <w:pPr>
        <w:pStyle w:val="1001"/>
        <w:widowControl w:val="off"/>
        <w:rPr>
          <w:rStyle w:val="999"/>
          <w:rFonts w:hint="eastAsia" w:ascii="宋体" w:hAnsi="宋体" w:cs="宋体"/>
          <w:color w:val="auto"/>
          <w:highlight w:val="none"/>
        </w:rPr>
      </w:pPr>
      <w:r>
        <w:rPr>
          <w:rStyle w:val="999"/>
          <w:rFonts w:ascii="宋体" w:hAnsi="宋体" w:eastAsia="宋体" w:cs="宋体"/>
          <w:color w:val="auto"/>
          <w:highlight w:val="none"/>
        </w:rPr>
        <w:t xml:space="preserve">法定代表人或代理人：（签字或盖章）</w:t>
      </w:r>
      <w:r/>
    </w:p>
    <w:p>
      <w:pPr>
        <w:pStyle w:val="1001"/>
        <w:widowControl w:val="off"/>
        <w:rPr>
          <w:rFonts w:hint="eastAsia" w:ascii="宋体" w:hAnsi="宋体" w:cs="宋体"/>
          <w:color w:val="auto"/>
          <w:highlight w:val="none"/>
        </w:rPr>
      </w:pPr>
      <w:r>
        <w:rPr>
          <w:rStyle w:val="999"/>
          <w:rFonts w:ascii="宋体" w:hAnsi="宋体" w:eastAsia="宋体" w:cs="宋体"/>
          <w:color w:val="auto"/>
          <w:highlight w:val="none"/>
        </w:rPr>
        <w:t xml:space="preserve">日期：      年    月    日</w:t>
      </w:r>
      <w:r/>
    </w:p>
    <w:p>
      <w:pPr>
        <w:spacing w:line="360" w:lineRule="auto"/>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7、投入本项目人员配备一览表</w:t>
      </w:r>
      <w:r/>
    </w:p>
    <w:p>
      <w:pPr>
        <w:jc w:val="center"/>
        <w:spacing w:line="360" w:lineRule="auto"/>
        <w:rPr>
          <w:rFonts w:hint="eastAsia" w:ascii="宋体" w:hAnsi="宋体" w:cs="宋体"/>
          <w:b/>
          <w:color w:val="auto"/>
          <w:spacing w:val="-1"/>
          <w:sz w:val="24"/>
          <w:szCs w:val="24"/>
          <w:highlight w:val="none"/>
        </w:rPr>
      </w:pPr>
      <w:r>
        <w:rPr>
          <w:rFonts w:hint="eastAsia" w:ascii="宋体" w:hAnsi="宋体" w:cs="宋体"/>
          <w:b/>
          <w:color w:val="auto"/>
          <w:spacing w:val="-1"/>
          <w:sz w:val="24"/>
          <w:szCs w:val="24"/>
          <w:highlight w:val="none"/>
        </w:rPr>
      </w:r>
      <w:r/>
    </w:p>
    <w:p>
      <w:pPr>
        <w:jc w:val="center"/>
        <w:spacing w:line="360" w:lineRule="auto"/>
        <w:rPr>
          <w:rFonts w:hint="eastAsia" w:ascii="宋体" w:hAnsi="宋体" w:cs="宋体"/>
          <w:b/>
          <w:color w:val="auto"/>
          <w:spacing w:val="-1"/>
          <w:sz w:val="24"/>
          <w:szCs w:val="24"/>
          <w:highlight w:val="none"/>
        </w:rPr>
      </w:pPr>
      <w:r>
        <w:rPr>
          <w:rFonts w:hint="eastAsia" w:ascii="宋体" w:hAnsi="宋体" w:eastAsia="宋体" w:cs="宋体"/>
          <w:b/>
          <w:color w:val="auto"/>
          <w:spacing w:val="-1"/>
          <w:sz w:val="24"/>
          <w:szCs w:val="24"/>
          <w:highlight w:val="none"/>
        </w:rPr>
        <w:t xml:space="preserve">投入本项目人员配备一览表</w:t>
      </w:r>
      <w:r/>
    </w:p>
    <w:tbl>
      <w:tblPr>
        <w:tblStyle w:val="665"/>
        <w:tblW w:w="925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1361"/>
        <w:gridCol w:w="1304"/>
        <w:gridCol w:w="850"/>
        <w:gridCol w:w="737"/>
        <w:gridCol w:w="907"/>
        <w:gridCol w:w="1361"/>
        <w:gridCol w:w="1237"/>
        <w:gridCol w:w="889"/>
      </w:tblGrid>
      <w:tr>
        <w:trPr>
          <w:jc w:val="center"/>
          <w:trHeight w:val="891"/>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val="en-US" w:eastAsia="en-US" w:bidi="ar-SA"/>
              </w:rPr>
              <w:t xml:space="preserve">岗</w:t>
            </w:r>
            <w:r>
              <w:rPr>
                <w:rFonts w:hint="eastAsia" w:ascii="宋体" w:hAnsi="宋体" w:eastAsia="宋体" w:cs="宋体"/>
                <w:color w:val="auto"/>
                <w:spacing w:val="-7"/>
                <w:sz w:val="24"/>
                <w:szCs w:val="24"/>
                <w:highlight w:val="none"/>
                <w:lang w:val="en-US" w:eastAsia="en-US" w:bidi="ar-SA"/>
              </w:rPr>
              <w:t xml:space="preserve">位</w:t>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姓</w:t>
            </w:r>
            <w:r>
              <w:rPr>
                <w:rFonts w:hint="eastAsia" w:ascii="宋体" w:hAnsi="宋体" w:eastAsia="宋体" w:cs="宋体"/>
                <w:color w:val="auto"/>
                <w:spacing w:val="-1"/>
                <w:sz w:val="24"/>
                <w:szCs w:val="24"/>
                <w:highlight w:val="none"/>
                <w:lang w:val="en-US" w:eastAsia="en-US" w:bidi="ar-SA"/>
              </w:rPr>
              <w:t xml:space="preserve">名</w:t>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性</w:t>
            </w:r>
            <w:r>
              <w:rPr>
                <w:rFonts w:hint="eastAsia" w:ascii="宋体" w:hAnsi="宋体" w:eastAsia="宋体" w:cs="宋体"/>
                <w:color w:val="auto"/>
                <w:spacing w:val="-1"/>
                <w:sz w:val="24"/>
                <w:szCs w:val="24"/>
                <w:highlight w:val="none"/>
                <w:lang w:val="en-US" w:eastAsia="en-US" w:bidi="ar-SA"/>
              </w:rPr>
              <w:t xml:space="preserve">别</w:t>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年龄</w:t>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en-US" w:bidi="ar-SA"/>
              </w:rPr>
              <w:t xml:space="preserve">学</w:t>
            </w:r>
            <w:r>
              <w:rPr>
                <w:rFonts w:hint="eastAsia" w:ascii="宋体" w:hAnsi="宋体" w:eastAsia="宋体" w:cs="宋体"/>
                <w:color w:val="auto"/>
                <w:spacing w:val="-2"/>
                <w:sz w:val="24"/>
                <w:szCs w:val="24"/>
                <w:highlight w:val="none"/>
                <w:lang w:val="en-US" w:eastAsia="en-US" w:bidi="ar-SA"/>
              </w:rPr>
              <w:t xml:space="preserve">历</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证</w:t>
            </w:r>
            <w:r>
              <w:rPr>
                <w:rFonts w:hint="eastAsia" w:ascii="宋体" w:hAnsi="宋体" w:eastAsia="宋体" w:cs="宋体"/>
                <w:color w:val="auto"/>
                <w:spacing w:val="-1"/>
                <w:sz w:val="24"/>
                <w:szCs w:val="24"/>
                <w:highlight w:val="none"/>
                <w:lang w:val="en-US" w:eastAsia="en-US" w:bidi="ar-SA"/>
              </w:rPr>
              <w:t xml:space="preserve">书情况</w:t>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从事本</w:t>
            </w:r>
            <w:r>
              <w:rPr>
                <w:rFonts w:hint="eastAsia" w:ascii="宋体" w:hAnsi="宋体" w:eastAsia="宋体" w:cs="宋体"/>
                <w:color w:val="auto"/>
                <w:spacing w:val="-1"/>
                <w:sz w:val="24"/>
                <w:szCs w:val="24"/>
                <w:highlight w:val="none"/>
                <w:lang w:val="en-US" w:eastAsia="en-US" w:bidi="ar-SA"/>
              </w:rPr>
              <w:t xml:space="preserve">工作</w:t>
            </w:r>
            <w:r>
              <w:rPr>
                <w:rFonts w:hint="eastAsia" w:ascii="宋体" w:hAnsi="宋体" w:eastAsia="宋体" w:cs="宋体"/>
                <w:color w:val="auto"/>
                <w:spacing w:val="-4"/>
                <w:sz w:val="24"/>
                <w:szCs w:val="24"/>
                <w:highlight w:val="none"/>
                <w:lang w:val="en-US" w:eastAsia="en-US" w:bidi="ar-SA"/>
              </w:rPr>
              <w:t xml:space="preserve">时间</w:t>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428"/>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2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5"/>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2"/>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6</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3"/>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7</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0"/>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8</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46"/>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9</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37"/>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val="en-US" w:eastAsia="en-US" w:bidi="ar-SA"/>
              </w:rPr>
              <w:t xml:space="preserve">1</w:t>
            </w:r>
            <w:r>
              <w:rPr>
                <w:rFonts w:hint="eastAsia" w:ascii="宋体" w:hAnsi="宋体" w:eastAsia="宋体" w:cs="宋体"/>
                <w:color w:val="auto"/>
                <w:spacing w:val="-5"/>
                <w:sz w:val="24"/>
                <w:szCs w:val="24"/>
                <w:highlight w:val="none"/>
                <w:lang w:val="en-US" w:eastAsia="en-US" w:bidi="ar-SA"/>
              </w:rPr>
              <w:t xml:space="preserve">0</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4"/>
        </w:trPr>
        <w:tc>
          <w:tcPr>
            <w:tcW w:w="605"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84"/>
                <w:sz w:val="24"/>
                <w:szCs w:val="24"/>
                <w:highlight w:val="none"/>
                <w:lang w:val="en-US" w:eastAsia="en-US" w:bidi="ar-SA"/>
              </w:rPr>
              <w:t xml:space="preserve">…</w:t>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5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6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262"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40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 w:val="24"/>
          <w:szCs w:val="24"/>
          <w:highlight w:val="none"/>
        </w:rPr>
        <w:t xml:space="preserve">8</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类似</w:t>
      </w:r>
      <w:r>
        <w:rPr>
          <w:rFonts w:hint="eastAsia" w:ascii="宋体" w:hAnsi="宋体" w:eastAsia="宋体" w:cs="宋体"/>
          <w:b/>
          <w:color w:val="auto"/>
          <w:spacing w:val="-1"/>
          <w:sz w:val="24"/>
          <w:szCs w:val="24"/>
          <w:highlight w:val="none"/>
        </w:rPr>
        <w:t xml:space="preserve">业绩一览表</w:t>
      </w:r>
      <w:r/>
    </w:p>
    <w:p>
      <w:pP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Cs/>
          <w:color w:val="auto"/>
          <w:sz w:val="24"/>
          <w:szCs w:val="24"/>
          <w:highlight w:val="none"/>
        </w:rPr>
      </w:pPr>
      <w:r>
        <w:rPr>
          <w:rFonts w:hint="eastAsia" w:ascii="宋体" w:hAnsi="宋体" w:eastAsia="宋体" w:cs="宋体"/>
          <w:b/>
          <w:color w:val="auto"/>
          <w:spacing w:val="-1"/>
          <w:sz w:val="24"/>
          <w:szCs w:val="24"/>
          <w:highlight w:val="none"/>
        </w:rPr>
        <w:t xml:space="preserve">类似业绩一览表</w:t>
      </w:r>
      <w:r/>
    </w:p>
    <w:tbl>
      <w:tblPr>
        <w:tblStyle w:val="665"/>
        <w:tblW w:w="93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32"/>
        <w:gridCol w:w="3452"/>
        <w:gridCol w:w="2126"/>
        <w:gridCol w:w="1843"/>
        <w:gridCol w:w="943"/>
      </w:tblGrid>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序</w:t>
            </w:r>
            <w:r>
              <w:rPr>
                <w:rFonts w:hint="eastAsia" w:ascii="宋体" w:hAnsi="宋体" w:eastAsia="宋体" w:cs="宋体"/>
                <w:color w:val="auto"/>
                <w:spacing w:val="-1"/>
                <w:sz w:val="24"/>
                <w:szCs w:val="24"/>
                <w:highlight w:val="none"/>
                <w:lang w:val="en-US" w:eastAsia="en-US" w:bidi="ar-SA"/>
              </w:rPr>
              <w:t xml:space="preserve">号</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项</w:t>
            </w:r>
            <w:r>
              <w:rPr>
                <w:rFonts w:hint="eastAsia" w:ascii="宋体" w:hAnsi="宋体" w:eastAsia="宋体" w:cs="宋体"/>
                <w:color w:val="auto"/>
                <w:spacing w:val="-2"/>
                <w:sz w:val="24"/>
                <w:szCs w:val="24"/>
                <w:highlight w:val="none"/>
                <w:lang w:val="en-US" w:eastAsia="en-US" w:bidi="ar-SA"/>
              </w:rPr>
              <w:t xml:space="preserve">目名称</w:t>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en-US" w:bidi="ar-SA"/>
              </w:rPr>
              <w:t xml:space="preserve">合</w:t>
            </w:r>
            <w:r>
              <w:rPr>
                <w:rFonts w:hint="eastAsia" w:ascii="宋体" w:hAnsi="宋体" w:eastAsia="宋体" w:cs="宋体"/>
                <w:color w:val="auto"/>
                <w:spacing w:val="-1"/>
                <w:sz w:val="24"/>
                <w:szCs w:val="24"/>
                <w:highlight w:val="none"/>
                <w:lang w:val="en-US" w:eastAsia="en-US" w:bidi="ar-SA"/>
              </w:rPr>
              <w:t xml:space="preserve">同签订时间</w:t>
            </w:r>
            <w:r/>
          </w:p>
        </w:tc>
        <w:tc>
          <w:tcPr>
            <w:tcW w:w="1843" w:type="dxa"/>
            <w:vAlign w:val="center"/>
            <w:textDirection w:val="lrTb"/>
            <w:noWrap w:val="false"/>
          </w:tcPr>
          <w:p>
            <w:pPr>
              <w:jc w:val="center"/>
              <w:widowControl w:val="off"/>
              <w:rPr>
                <w:rFonts w:hint="eastAsia" w:ascii="宋体" w:hAnsi="宋体" w:eastAsia="宋体" w:cs="宋体"/>
                <w:color w:val="auto"/>
                <w:spacing w:val="12"/>
                <w:sz w:val="24"/>
                <w:szCs w:val="24"/>
                <w:highlight w:val="none"/>
              </w:rPr>
            </w:pPr>
            <w:r>
              <w:rPr>
                <w:rFonts w:hint="eastAsia" w:ascii="宋体" w:hAnsi="宋体" w:eastAsia="宋体" w:cs="宋体"/>
                <w:color w:val="auto"/>
                <w:spacing w:val="15"/>
                <w:sz w:val="24"/>
                <w:szCs w:val="24"/>
                <w:highlight w:val="none"/>
                <w:lang w:val="en-US" w:eastAsia="en-US" w:bidi="ar-SA"/>
              </w:rPr>
              <w:t xml:space="preserve">合</w:t>
            </w:r>
            <w:r>
              <w:rPr>
                <w:rFonts w:hint="eastAsia" w:ascii="宋体" w:hAnsi="宋体" w:eastAsia="宋体" w:cs="宋体"/>
                <w:color w:val="auto"/>
                <w:spacing w:val="12"/>
                <w:sz w:val="24"/>
                <w:szCs w:val="24"/>
                <w:highlight w:val="none"/>
                <w:lang w:val="en-US" w:eastAsia="en-US" w:bidi="ar-SA"/>
              </w:rPr>
              <w:t xml:space="preserve">同金额</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lang w:val="en-US" w:eastAsia="en-US" w:bidi="ar-SA"/>
              </w:rPr>
              <w:t xml:space="preserve">（万元）</w:t>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val="en-US" w:eastAsia="en-US" w:bidi="ar-SA"/>
              </w:rPr>
              <w:t xml:space="preserve">备</w:t>
            </w:r>
            <w:r>
              <w:rPr>
                <w:rFonts w:hint="eastAsia" w:ascii="宋体" w:hAnsi="宋体" w:eastAsia="宋体" w:cs="宋体"/>
                <w:color w:val="auto"/>
                <w:spacing w:val="-2"/>
                <w:sz w:val="24"/>
                <w:szCs w:val="24"/>
                <w:highlight w:val="none"/>
                <w:lang w:val="en-US" w:eastAsia="en-US" w:bidi="ar-SA"/>
              </w:rPr>
              <w:t xml:space="preserve">注</w:t>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1</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2</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3</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4</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5</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0"/>
        </w:trPr>
        <w:tc>
          <w:tcPr>
            <w:tcW w:w="103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bidi="ar-SA"/>
              </w:rPr>
              <w:t xml:space="preserve">……</w:t>
            </w:r>
            <w:r/>
          </w:p>
        </w:tc>
        <w:tc>
          <w:tcPr>
            <w:tcW w:w="3452"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供应商名称：（盖章）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spacing w:line="360" w:lineRule="auto"/>
        <w:rPr>
          <w:rFonts w:hint="eastAsia"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widowControl/>
        <w:rPr>
          <w:rFonts w:hint="eastAsia" w:ascii="宋体" w:hAnsi="宋体" w:cs="宋体"/>
          <w:b/>
          <w:bCs/>
          <w:color w:val="auto"/>
          <w:sz w:val="24"/>
          <w:szCs w:val="24"/>
          <w:highlight w:val="none"/>
        </w:rPr>
      </w:pPr>
      <w:r>
        <w:rPr>
          <w:rFonts w:hint="eastAsia" w:ascii="宋体" w:hAnsi="宋体" w:cs="宋体"/>
          <w:b/>
          <w:color w:val="auto"/>
          <w:szCs w:val="21"/>
          <w:highlight w:val="none"/>
        </w:rPr>
        <w:br w:type="page" w:clear="all"/>
      </w:r>
      <w:r>
        <w:rPr>
          <w:rFonts w:hint="eastAsia" w:ascii="宋体" w:hAnsi="宋体" w:eastAsia="宋体" w:cs="宋体"/>
          <w:b/>
          <w:bCs/>
          <w:color w:val="auto"/>
          <w:sz w:val="24"/>
          <w:szCs w:val="24"/>
          <w:highlight w:val="none"/>
        </w:rPr>
        <w:t xml:space="preserve">9、资格证明文件</w:t>
      </w:r>
      <w:r/>
    </w:p>
    <w:p>
      <w:pPr>
        <w:jc w:val="left"/>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（1）关于资格文件的声明函</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关于资格文件的声明函</w:t>
      </w:r>
      <w:r/>
    </w:p>
    <w:p>
      <w:pPr>
        <w:jc w:val="left"/>
        <w:spacing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法定代表人或授权代理人：（签字或盖章）</w:t>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b/>
          <w:bCs/>
          <w:color w:val="auto"/>
          <w:sz w:val="24"/>
          <w:szCs w:val="24"/>
          <w:highlight w:val="none"/>
        </w:rPr>
        <w:outlineLvl w:val="9"/>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（2）响应单位情况表</w:t>
      </w:r>
      <w:r/>
    </w:p>
    <w:p>
      <w:pPr>
        <w:jc w:val="center"/>
        <w:spacing w:line="360" w:lineRule="auto"/>
        <w:rPr>
          <w:rFonts w:hint="eastAsia" w:ascii="宋体" w:hAnsi="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响应单位情况表</w:t>
      </w:r>
      <w:r/>
    </w:p>
    <w:p>
      <w:pPr>
        <w:pStyle w:val="1003"/>
        <w:ind w:firstLine="480"/>
        <w:jc w:val="both"/>
        <w:spacing w:line="360" w:lineRule="auto"/>
        <w:widowControl w:val="off"/>
        <w:rPr>
          <w:rStyle w:val="999"/>
          <w:rFonts w:hint="eastAsia" w:ascii="宋体" w:hAnsi="宋体" w:cs="宋体"/>
          <w:color w:val="auto"/>
          <w:highlight w:val="none"/>
        </w:rPr>
      </w:pPr>
      <w:r>
        <w:rPr>
          <w:rStyle w:val="999"/>
          <w:rFonts w:ascii="宋体" w:hAnsi="宋体" w:eastAsia="宋体" w:cs="宋体"/>
          <w:color w:val="auto"/>
          <w:highlight w:val="none"/>
        </w:rPr>
        <w:t xml:space="preserve">单位名称（盖章）</w:t>
      </w:r>
      <w:r/>
    </w:p>
    <w:tbl>
      <w:tblPr>
        <w:tblStyle w:val="665"/>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719"/>
        <w:gridCol w:w="1796"/>
        <w:gridCol w:w="1461"/>
        <w:gridCol w:w="2056"/>
        <w:gridCol w:w="1236"/>
      </w:tblGrid>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法定代表人</w:t>
            </w:r>
            <w:r/>
          </w:p>
        </w:tc>
        <w:tc>
          <w:tcPr>
            <w:tcW w:w="1796"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成立日期</w:t>
            </w:r>
            <w:r/>
          </w:p>
        </w:tc>
        <w:tc>
          <w:tcPr>
            <w:gridSpan w:val="2"/>
            <w:tcW w:w="3292"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企业地址</w:t>
            </w:r>
            <w:r/>
          </w:p>
        </w:tc>
        <w:tc>
          <w:tcPr>
            <w:tcW w:w="1796"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tcW w:w="1461"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注册资本</w:t>
            </w:r>
            <w:r/>
          </w:p>
        </w:tc>
        <w:tc>
          <w:tcPr>
            <w:gridSpan w:val="2"/>
            <w:tcW w:w="3292" w:type="dxa"/>
            <w:vAlign w:val="center"/>
            <w:textDirection w:val="lrTb"/>
            <w:noWrap w:val="false"/>
          </w:tcPr>
          <w:p>
            <w:pPr>
              <w:pStyle w:val="1003"/>
              <w:ind w:firstLine="2160"/>
              <w:jc w:val="center"/>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万元</w:t>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经营范围</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职工人数</w:t>
            </w:r>
            <w:r/>
          </w:p>
        </w:tc>
        <w:tc>
          <w:tcPr>
            <w:tcW w:w="1796"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517" w:type="dxa"/>
            <w:vAlign w:val="center"/>
            <w:textDirection w:val="lrTb"/>
            <w:noWrap w:val="false"/>
          </w:tcPr>
          <w:p>
            <w:pPr>
              <w:pStyle w:val="1003"/>
              <w:ind w:firstLine="0"/>
              <w:jc w:val="center"/>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其中：有中高级以上职称的人数</w:t>
            </w:r>
            <w:r/>
          </w:p>
        </w:tc>
        <w:tc>
          <w:tcPr>
            <w:tcW w:w="1236"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资产总计</w:t>
            </w:r>
            <w:r/>
          </w:p>
        </w:tc>
        <w:tc>
          <w:tcPr>
            <w:tcW w:w="1796" w:type="dxa"/>
            <w:vAlign w:val="center"/>
            <w:textDirection w:val="lrTb"/>
            <w:noWrap w:val="false"/>
          </w:tcPr>
          <w:p>
            <w:pPr>
              <w:pStyle w:val="1003"/>
              <w:ind w:firstLine="0"/>
              <w:jc w:val="center"/>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净资产</w:t>
            </w:r>
            <w:r/>
          </w:p>
        </w:tc>
        <w:tc>
          <w:tcPr>
            <w:gridSpan w:val="2"/>
            <w:tcW w:w="3292" w:type="dxa"/>
            <w:vAlign w:val="center"/>
            <w:textDirection w:val="lrTb"/>
            <w:noWrap w:val="false"/>
          </w:tcPr>
          <w:p>
            <w:pPr>
              <w:pStyle w:val="1003"/>
              <w:ind w:firstLine="0"/>
              <w:jc w:val="center"/>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                万元</w:t>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股东权益</w:t>
            </w:r>
            <w:r/>
          </w:p>
        </w:tc>
        <w:tc>
          <w:tcPr>
            <w:tcW w:w="1796" w:type="dxa"/>
            <w:vAlign w:val="center"/>
            <w:textDirection w:val="lrTb"/>
            <w:noWrap w:val="false"/>
          </w:tcPr>
          <w:p>
            <w:pPr>
              <w:pStyle w:val="1003"/>
              <w:ind w:firstLine="0"/>
              <w:jc w:val="center"/>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         万元</w:t>
            </w:r>
            <w:r/>
          </w:p>
        </w:tc>
        <w:tc>
          <w:tcPr>
            <w:tcW w:w="1461"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销售收入</w:t>
            </w:r>
            <w:r/>
          </w:p>
        </w:tc>
        <w:tc>
          <w:tcPr>
            <w:gridSpan w:val="2"/>
            <w:tcW w:w="3292" w:type="dxa"/>
            <w:vAlign w:val="center"/>
            <w:textDirection w:val="lrTb"/>
            <w:noWrap w:val="false"/>
          </w:tcPr>
          <w:p>
            <w:pPr>
              <w:pStyle w:val="1003"/>
              <w:ind w:firstLine="240"/>
              <w:jc w:val="left"/>
              <w:widowControl w:val="off"/>
              <w:rPr>
                <w:rStyle w:val="999"/>
                <w:rFonts w:hint="eastAsia" w:ascii="宋体" w:hAnsi="宋体" w:eastAsia="楷体_GB2312" w:cs="宋体"/>
                <w:color w:val="auto"/>
                <w:sz w:val="24"/>
                <w:szCs w:val="20"/>
                <w:highlight w:val="none"/>
              </w:rPr>
            </w:pPr>
            <w:r>
              <w:rPr>
                <w:rStyle w:val="999"/>
                <w:rFonts w:hint="eastAsia" w:ascii="宋体" w:hAnsi="宋体" w:eastAsia="宋体" w:cs="宋体"/>
                <w:color w:val="auto"/>
                <w:sz w:val="24"/>
                <w:szCs w:val="20"/>
                <w:highlight w:val="none"/>
                <w:lang w:val="en-US" w:eastAsia="zh-CN" w:bidi="ar-SA"/>
              </w:rPr>
              <w:t xml:space="preserve">2025</w:t>
            </w:r>
            <w:r>
              <w:rPr>
                <w:rStyle w:val="999"/>
                <w:rFonts w:ascii="宋体" w:hAnsi="宋体" w:eastAsia="宋体" w:cs="宋体"/>
                <w:color w:val="auto"/>
                <w:sz w:val="24"/>
                <w:szCs w:val="20"/>
                <w:highlight w:val="none"/>
                <w:lang w:val="en-US" w:eastAsia="en-US" w:bidi="ar-SA"/>
              </w:rPr>
              <w:t xml:space="preserve">年          万元</w:t>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实现利润</w:t>
            </w:r>
            <w:r/>
          </w:p>
        </w:tc>
        <w:tc>
          <w:tcPr>
            <w:tcW w:w="1796"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hint="eastAsia" w:ascii="宋体" w:hAnsi="宋体" w:eastAsia="宋体" w:cs="宋体"/>
                <w:color w:val="auto"/>
                <w:sz w:val="24"/>
                <w:szCs w:val="20"/>
                <w:highlight w:val="none"/>
                <w:lang w:val="en-US" w:eastAsia="zh-CN" w:bidi="ar-SA"/>
              </w:rPr>
              <w:t xml:space="preserve">2025</w:t>
            </w:r>
            <w:r>
              <w:rPr>
                <w:rStyle w:val="999"/>
                <w:rFonts w:ascii="宋体" w:hAnsi="宋体" w:eastAsia="宋体" w:cs="宋体"/>
                <w:color w:val="auto"/>
                <w:sz w:val="24"/>
                <w:szCs w:val="20"/>
                <w:highlight w:val="none"/>
                <w:lang w:val="en-US" w:eastAsia="en-US" w:bidi="ar-SA"/>
              </w:rPr>
              <w:t xml:space="preserve">年    万元</w:t>
            </w:r>
            <w:r/>
          </w:p>
        </w:tc>
        <w:tc>
          <w:tcPr>
            <w:tcW w:w="1461"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c>
          <w:tcPr>
            <w:gridSpan w:val="2"/>
            <w:tcW w:w="3292"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center"/>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营业面积（含厂房面积）</w:t>
            </w:r>
            <w:r/>
          </w:p>
        </w:tc>
        <w:tc>
          <w:tcPr>
            <w:tcW w:w="1796"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        平方米</w:t>
            </w:r>
            <w:r/>
          </w:p>
        </w:tc>
        <w:tc>
          <w:tcPr>
            <w:tcW w:w="1461"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其中：</w:t>
            </w:r>
            <w:r/>
          </w:p>
        </w:tc>
        <w:tc>
          <w:tcPr>
            <w:gridSpan w:val="2"/>
            <w:tcW w:w="3292"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自有面积         平方米</w:t>
            </w:r>
            <w:r/>
          </w:p>
          <w:p>
            <w:pPr>
              <w:pStyle w:val="1003"/>
              <w:ind w:firstLine="0"/>
              <w:jc w:val="left"/>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承租面积         平方米</w:t>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单位简历及内设机构情况</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单位优势及特长</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近三年来完成或正在履行的重大合同情况</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最近</w:t>
            </w:r>
            <w:r>
              <w:rPr>
                <w:rStyle w:val="999"/>
                <w:rFonts w:hint="eastAsia" w:ascii="宋体" w:hAnsi="宋体" w:eastAsia="宋体" w:cs="宋体"/>
                <w:color w:val="auto"/>
                <w:sz w:val="24"/>
                <w:szCs w:val="20"/>
                <w:highlight w:val="none"/>
                <w:lang w:val="en-US" w:eastAsia="en-US" w:bidi="ar-SA"/>
              </w:rPr>
              <w:t xml:space="preserve">3</w:t>
            </w:r>
            <w:r>
              <w:rPr>
                <w:rStyle w:val="999"/>
                <w:rFonts w:ascii="宋体" w:hAnsi="宋体" w:eastAsia="宋体" w:cs="宋体"/>
                <w:color w:val="auto"/>
                <w:sz w:val="24"/>
                <w:szCs w:val="20"/>
                <w:highlight w:val="none"/>
                <w:lang w:val="en-US" w:eastAsia="en-US" w:bidi="ar-SA"/>
              </w:rPr>
              <w:t xml:space="preserve">年内在经营过程中受到何种奖励或处分（包括情况和结果）</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最近3年内有无因售假、售劣或是其他原因被消费者投诉或起诉的情况及说明（包括解决方式和结果）</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最近3年内主要负责人有无因经济犯罪被司法机关追究的情况及说明</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获得技术认证的工程师及简介</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r>
        <w:trPr>
          <w:cantSplit/>
          <w:jc w:val="center"/>
          <w:trHeight w:val="510"/>
        </w:trPr>
        <w:tc>
          <w:tcPr>
            <w:tcW w:w="2719" w:type="dxa"/>
            <w:vAlign w:val="center"/>
            <w:textDirection w:val="lrTb"/>
            <w:noWrap w:val="false"/>
          </w:tcPr>
          <w:p>
            <w:pPr>
              <w:pStyle w:val="1003"/>
              <w:ind w:firstLine="0"/>
              <w:jc w:val="both"/>
              <w:widowControl w:val="off"/>
              <w:rPr>
                <w:rStyle w:val="999"/>
                <w:rFonts w:hint="eastAsia" w:ascii="宋体" w:hAnsi="宋体" w:eastAsia="楷体_GB2312" w:cs="宋体"/>
                <w:color w:val="auto"/>
                <w:sz w:val="24"/>
                <w:szCs w:val="20"/>
                <w:highlight w:val="none"/>
              </w:rPr>
            </w:pPr>
            <w:r>
              <w:rPr>
                <w:rStyle w:val="999"/>
                <w:rFonts w:ascii="宋体" w:hAnsi="宋体" w:eastAsia="宋体" w:cs="宋体"/>
                <w:color w:val="auto"/>
                <w:sz w:val="24"/>
                <w:szCs w:val="20"/>
                <w:highlight w:val="none"/>
                <w:lang w:val="en-US" w:eastAsia="en-US" w:bidi="ar-SA"/>
              </w:rPr>
              <w:t xml:space="preserve">其他需要说明的情况</w:t>
            </w:r>
            <w:r/>
          </w:p>
        </w:tc>
        <w:tc>
          <w:tcPr>
            <w:gridSpan w:val="4"/>
            <w:tcW w:w="6549" w:type="dxa"/>
            <w:vAlign w:val="top"/>
            <w:textDirection w:val="lrTb"/>
            <w:noWrap w:val="false"/>
          </w:tcPr>
          <w:p>
            <w:pPr>
              <w:pStyle w:val="1003"/>
              <w:ind w:firstLine="0"/>
              <w:jc w:val="left"/>
              <w:widowControl w:val="off"/>
              <w:rPr>
                <w:rStyle w:val="999"/>
                <w:rFonts w:hint="eastAsia" w:ascii="宋体" w:hAnsi="宋体" w:eastAsia="楷体_GB2312" w:cs="宋体"/>
                <w:color w:val="auto"/>
                <w:sz w:val="24"/>
                <w:szCs w:val="20"/>
                <w:highlight w:val="none"/>
              </w:rPr>
            </w:pPr>
            <w:r>
              <w:rPr>
                <w:rFonts w:hint="eastAsia" w:ascii="宋体" w:hAnsi="宋体" w:eastAsia="楷体_GB2312" w:cs="宋体"/>
                <w:color w:val="auto"/>
                <w:sz w:val="24"/>
                <w:szCs w:val="20"/>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rPr>
          <w:rFonts w:ascii="宋体" w:hAnsi="宋体" w:cs="宋体"/>
          <w:color w:val="auto"/>
          <w:highlight w:val="none"/>
        </w:rPr>
        <w:outlineLvl w:val="9"/>
      </w:pPr>
      <w:r>
        <w:rPr>
          <w:rFonts w:ascii="宋体" w:hAnsi="宋体" w:cs="宋体"/>
          <w:color w:val="auto"/>
          <w:highlight w:val="none"/>
        </w:rPr>
        <w:br w:type="page" w:clear="all"/>
      </w:r>
      <w:r>
        <w:rPr>
          <w:rFonts w:hint="eastAsia" w:ascii="宋体" w:hAnsi="宋体" w:eastAsia="宋体" w:cs="宋体"/>
          <w:b/>
          <w:bCs/>
          <w:color w:val="auto"/>
          <w:sz w:val="24"/>
          <w:szCs w:val="24"/>
          <w:highlight w:val="none"/>
        </w:rPr>
        <w:t xml:space="preserve">10、中小企业声明函</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tabs>
          <w:tab w:val="left" w:pos="8930" w:leader="none"/>
          <w:tab w:val="left" w:pos="9306" w:leader="none"/>
        </w:tabs>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中小企业声明函（工程、服务）</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3"/>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租赁和商务服务业</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（中型企业、小型企业、微型企业）； </w:t>
      </w:r>
      <w:r/>
    </w:p>
    <w:p>
      <w:pPr>
        <w:numPr>
          <w:ilvl w:val="0"/>
          <w:numId w:val="3"/>
        </w:num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（标的名称），属于</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租赁和商务服务业 </w:t>
      </w:r>
      <w:r>
        <w:rPr>
          <w:rFonts w:hint="eastAsia" w:ascii="宋体" w:hAnsi="宋体" w:eastAsia="宋体" w:cs="宋体"/>
          <w:color w:val="auto"/>
          <w:sz w:val="24"/>
          <w:szCs w:val="24"/>
          <w:highlight w:val="none"/>
        </w:rPr>
        <w:t xml:space="preserve">（采购文件中明确的所属行业）；承建（承接）企业为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（中型企业、 小型企业、微型企业）；</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 ……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567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951"/>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951"/>
        <w:ind w:left="0"/>
        <w:rPr>
          <w:rFonts w:hint="eastAsia" w:ascii="宋体" w:hAnsi="宋体" w:cs="宋体"/>
          <w:color w:val="auto"/>
          <w:szCs w:val="21"/>
          <w:highlight w:val="none"/>
        </w:rPr>
      </w:pPr>
      <w:r>
        <w:rPr>
          <w:rFonts w:hint="eastAsia" w:ascii="宋体" w:hAnsi="宋体" w:cs="宋体"/>
          <w:color w:val="auto"/>
          <w:szCs w:val="21"/>
          <w:highlight w:val="none"/>
        </w:rPr>
      </w:r>
      <w:r/>
    </w:p>
    <w:p>
      <w:pPr>
        <w:pStyle w:val="951"/>
        <w:ind w:left="0"/>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rFonts w:hint="eastAsia" w:ascii="宋体" w:hAnsi="宋体" w:eastAsia="宋体" w:cs="宋体"/>
          <w:b/>
          <w:color w:val="auto"/>
          <w:szCs w:val="21"/>
          <w:highlight w:val="none"/>
        </w:rPr>
        <w:t xml:space="preserve">附：中小企业划型标准规定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（二）工业。</w:t>
      </w:r>
      <w:r>
        <w:rPr>
          <w:rFonts w:hint="eastAsia" w:ascii="宋体" w:hAnsi="宋体" w:eastAsia="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（三）建筑业。</w:t>
      </w:r>
      <w:r>
        <w:rPr>
          <w:rFonts w:hint="eastAsia" w:ascii="宋体" w:hAnsi="宋体" w:eastAsia="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（四）批发业。</w:t>
      </w:r>
      <w:r>
        <w:rPr>
          <w:rFonts w:hint="eastAsia" w:ascii="宋体" w:hAnsi="宋体" w:eastAsia="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（五）零售业。</w:t>
      </w:r>
      <w:r>
        <w:rPr>
          <w:rFonts w:hint="eastAsia" w:ascii="宋体" w:hAnsi="宋体" w:eastAsia="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（六）交通运输业。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（七）仓储业。</w:t>
      </w:r>
      <w:r>
        <w:rPr>
          <w:rFonts w:hint="eastAsia" w:ascii="宋体" w:hAnsi="宋体" w:eastAsia="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（八）邮政业。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（九）住宿业。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（十）餐饮业。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（十一）信息传输业。</w:t>
      </w:r>
      <w:r>
        <w:rPr>
          <w:rFonts w:hint="eastAsia" w:ascii="宋体" w:hAnsi="宋体" w:eastAsia="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（十二）软件和信息技术服务业。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（十三）房地产开发经营。</w:t>
      </w:r>
      <w:r>
        <w:rPr>
          <w:rFonts w:hint="eastAsia" w:ascii="宋体" w:hAnsi="宋体" w:eastAsia="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（十四）物业管理。</w:t>
      </w:r>
      <w:r>
        <w:rPr>
          <w:rFonts w:hint="eastAsia" w:ascii="宋体" w:hAnsi="宋体" w:eastAsia="宋体" w:cs="宋体"/>
          <w:color w:val="auto"/>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cs="宋体"/>
          <w:color w:val="auto"/>
          <w:szCs w:val="21"/>
          <w:highlight w:val="none"/>
        </w:rPr>
      </w:pPr>
      <w:r>
        <w:rPr>
          <w:rFonts w:hint="eastAsia" w:ascii="宋体" w:hAnsi="宋体" w:eastAsia="宋体" w:cs="宋体"/>
          <w:b/>
          <w:color w:val="auto"/>
          <w:szCs w:val="21"/>
          <w:highlight w:val="none"/>
        </w:rPr>
        <w:t xml:space="preserve">（十五）租赁和商务服务业。</w:t>
      </w:r>
      <w:r>
        <w:rPr>
          <w:rFonts w:hint="eastAsia" w:ascii="宋体" w:hAnsi="宋体" w:eastAsia="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cs="宋体"/>
          <w:b/>
          <w:bCs/>
          <w:color w:val="auto"/>
          <w:szCs w:val="21"/>
          <w:highlight w:val="none"/>
        </w:rPr>
      </w:pPr>
      <w:r>
        <w:rPr>
          <w:rFonts w:hint="eastAsia" w:ascii="宋体" w:hAnsi="宋体" w:eastAsia="宋体" w:cs="宋体"/>
          <w:b/>
          <w:color w:val="auto"/>
          <w:szCs w:val="21"/>
          <w:highlight w:val="none"/>
        </w:rPr>
        <w:t xml:space="preserve">（十六）其他未列明行业。</w:t>
      </w:r>
      <w:r>
        <w:rPr>
          <w:rFonts w:hint="eastAsia" w:ascii="宋体" w:hAnsi="宋体" w:eastAsia="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jc w:val="lef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11、残疾人福利性单位声明函</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color w:val="auto"/>
          <w:szCs w:val="21"/>
          <w:highlight w:val="none"/>
        </w:rPr>
        <w:br w:type="page" w:clear="all"/>
      </w:r>
      <w:r>
        <w:rPr>
          <w:rFonts w:hint="eastAsia" w:ascii="宋体" w:hAnsi="宋体" w:eastAsia="宋体" w:cs="宋体"/>
          <w:b/>
          <w:bCs/>
          <w:color w:val="auto"/>
          <w:sz w:val="24"/>
          <w:szCs w:val="24"/>
          <w:highlight w:val="none"/>
        </w:rPr>
        <w:t xml:space="preserve">12、投标（响应）保证承诺书</w:t>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tabs>
          <w:tab w:val="left" w:pos="8930" w:leader="none"/>
          <w:tab w:val="left" w:pos="9306" w:leader="none"/>
        </w:tabs>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投标（响应）保证承诺书</w:t>
      </w:r>
      <w:r/>
    </w:p>
    <w:p>
      <w:pPr>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cs/>
        </w:rPr>
        <w:t xml:space="preserve"> </w:t>
      </w:r>
      <w:r>
        <w:rPr>
          <w:rFonts w:hint="eastAsia" w:ascii="宋体" w:hAnsi="宋体" w:eastAsia="宋体" w:cs="宋体"/>
          <w:color w:val="auto"/>
          <w:sz w:val="24"/>
          <w:szCs w:val="24"/>
          <w:highlight w:val="none"/>
          <w:u w:val="single"/>
        </w:rPr>
        <w:t xml:space="preserve">（采购代理机构名称）</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我（单位/本人，以下统称我单位）自愿参加</w:t>
      </w:r>
      <w:r>
        <w:rPr>
          <w:rFonts w:hint="eastAsia" w:ascii="宋体" w:hAnsi="宋体" w:eastAsia="宋体" w:cs="宋体"/>
          <w:color w:val="auto"/>
          <w:sz w:val="24"/>
          <w:szCs w:val="24"/>
          <w:highlight w:val="none"/>
          <w:u w:val="single"/>
        </w:rPr>
        <w:t xml:space="preserve">（项目名称和采购编号）</w:t>
      </w:r>
      <w:r>
        <w:rPr>
          <w:rFonts w:hint="eastAsia" w:ascii="宋体" w:hAnsi="宋体" w:eastAsia="宋体" w:cs="宋体"/>
          <w:color w:val="auto"/>
          <w:sz w:val="24"/>
          <w:szCs w:val="24"/>
          <w:highlight w:val="none"/>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w:t>
      </w:r>
      <w:r>
        <w:rPr>
          <w:rFonts w:hint="eastAsia" w:ascii="宋体" w:hAnsi="宋体" w:eastAsia="宋体" w:cs="宋体"/>
          <w:color w:val="auto"/>
          <w:sz w:val="24"/>
          <w:szCs w:val="24"/>
          <w:highlight w:val="none"/>
          <w:u w:val="single"/>
        </w:rPr>
        <w:t xml:space="preserve">（或采购人）</w:t>
      </w:r>
      <w:r>
        <w:rPr>
          <w:rFonts w:hint="eastAsia" w:ascii="宋体" w:hAnsi="宋体" w:eastAsia="宋体" w:cs="宋体"/>
          <w:color w:val="auto"/>
          <w:sz w:val="24"/>
          <w:szCs w:val="24"/>
          <w:highlight w:val="none"/>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投标（响应）人：（盖公章）</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cs/>
        </w:rPr>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电子邮件：</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法定代表人或委托代理人（签字或签章）：</w:t>
      </w:r>
      <w:r>
        <w:rPr>
          <w:rFonts w:hint="eastAsia" w:ascii="宋体" w:hAnsi="宋体" w:cs="宋体"/>
          <w:color w:val="auto"/>
          <w:sz w:val="24"/>
          <w:szCs w:val="24"/>
          <w:highlight w:val="none"/>
          <w:cs/>
        </w:rPr>
        <w:t xml:space="preserve">   </w:t>
      </w:r>
      <w:r/>
    </w:p>
    <w:p>
      <w:pPr>
        <w:ind w:firstLine="420"/>
        <w:jc w:val="left"/>
        <w:spacing w:line="360" w:lineRule="auto"/>
        <w:tabs>
          <w:tab w:val="left" w:pos="8930" w:leader="none"/>
          <w:tab w:val="left" w:pos="9306"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cs/>
        </w:rPr>
        <w:t xml:space="preserve">      </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b/>
          <w:color w:val="auto"/>
          <w:sz w:val="24"/>
          <w:szCs w:val="24"/>
          <w:highlight w:val="none"/>
        </w:rPr>
      </w:pPr>
      <w:r>
        <w:rPr>
          <w:rStyle w:val="964"/>
          <w:rFonts w:hint="eastAsia" w:ascii="宋体" w:hAnsi="宋体" w:cs="宋体"/>
          <w:color w:val="auto"/>
          <w:sz w:val="48"/>
          <w:szCs w:val="48"/>
          <w:highlight w:val="none"/>
        </w:rPr>
        <w:br w:type="page" w:clear="all"/>
      </w:r>
      <w:r>
        <w:rPr>
          <w:rFonts w:hint="eastAsia" w:ascii="宋体" w:hAnsi="宋体" w:eastAsia="宋体" w:cs="宋体"/>
          <w:b/>
          <w:color w:val="auto"/>
          <w:sz w:val="24"/>
          <w:szCs w:val="24"/>
          <w:highlight w:val="none"/>
        </w:rPr>
        <w:t xml:space="preserve">13、响应单位与其他单位存在控股、管理关系情况表</w:t>
      </w:r>
      <w:r/>
    </w:p>
    <w:p>
      <w:pPr>
        <w:pStyle w:val="700"/>
        <w:jc w:val="lef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响应单位与其他单位存在控股、管理关系情况表</w:t>
      </w:r>
      <w:r/>
    </w:p>
    <w:tbl>
      <w:tblPr>
        <w:tblStyle w:val="665"/>
        <w:tblW w:w="9248" w:type="dxa"/>
        <w:jc w:val="center"/>
        <w:tblLayout w:type="fixed"/>
        <w:tblCellMar>
          <w:left w:w="108" w:type="dxa"/>
          <w:top w:w="0" w:type="dxa"/>
          <w:right w:w="108" w:type="dxa"/>
          <w:bottom w:w="0" w:type="dxa"/>
        </w:tblCellMar>
        <w:tblLook w:val="04A0" w:firstRow="1" w:lastRow="0" w:firstColumn="1" w:lastColumn="0" w:noHBand="0" w:noVBand="1"/>
      </w:tblPr>
      <w:tblGrid>
        <w:gridCol w:w="5347"/>
        <w:gridCol w:w="3901"/>
      </w:tblGrid>
      <w:tr>
        <w:trPr>
          <w:jc w:val="center"/>
          <w:trHeight w:val="637"/>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与响应单位存在控股、管理关系的单位名称</w:t>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en-US" w:bidi="ar-SA"/>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347"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901" w:type="dxa"/>
            <w:vAlign w:val="center"/>
            <w:textDirection w:val="lrTb"/>
            <w:noWrap w:val="false"/>
          </w:tcPr>
          <w:p>
            <w:pPr>
              <w:jc w:val="cente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注：响应单位应当按实填写所有与之有控股、管理关系的情况。</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供应商：（单位盖章）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spacing w:line="400" w:lineRule="exact"/>
        <w:rPr>
          <w:rStyle w:val="964"/>
          <w:rFonts w:hint="eastAsia" w:ascii="宋体" w:hAnsi="宋体" w:cs="宋体"/>
          <w:color w:val="auto"/>
          <w:sz w:val="32"/>
          <w:szCs w:val="32"/>
          <w:highlight w:val="none"/>
        </w:rPr>
        <w:outlineLvl w:val="0"/>
      </w:pPr>
      <w:r>
        <w:rPr>
          <w:rStyle w:val="964"/>
          <w:rFonts w:hint="eastAsia" w:ascii="宋体" w:hAnsi="宋体" w:cs="宋体"/>
          <w:color w:val="auto"/>
          <w:sz w:val="24"/>
          <w:szCs w:val="24"/>
          <w:highlight w:val="none"/>
        </w:rPr>
        <w:br w:type="page" w:clear="all"/>
      </w:r>
      <w:bookmarkStart w:id="27" w:name="_Toc197425371"/>
      <w:r>
        <w:rPr>
          <w:rStyle w:val="964"/>
          <w:rFonts w:hint="eastAsia" w:ascii="宋体" w:hAnsi="宋体" w:eastAsia="宋体" w:cs="宋体"/>
          <w:color w:val="auto"/>
          <w:sz w:val="32"/>
          <w:szCs w:val="32"/>
          <w:highlight w:val="none"/>
        </w:rPr>
        <w:t xml:space="preserve">第四章  采购内容</w:t>
      </w:r>
      <w:bookmarkEnd w:id="27"/>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苏州中苏御源工程咨询有限公司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苏州高新区(虎丘区)东渚街道办事处</w:t>
      </w:r>
      <w:r>
        <w:rPr>
          <w:rFonts w:hint="eastAsia" w:ascii="宋体" w:hAnsi="宋体" w:eastAsia="宋体" w:cs="宋体"/>
          <w:color w:val="auto"/>
          <w:sz w:val="24"/>
          <w:szCs w:val="24"/>
          <w:highlight w:val="none"/>
        </w:rPr>
        <w:t xml:space="preserve">的委托，就其所需</w:t>
      </w:r>
      <w:r>
        <w:rPr>
          <w:rFonts w:hint="eastAsia" w:ascii="宋体" w:hAnsi="宋体" w:eastAsia="宋体" w:cs="宋体"/>
          <w:color w:val="auto"/>
          <w:sz w:val="24"/>
          <w:szCs w:val="24"/>
          <w:highlight w:val="none"/>
          <w:u w:val="single"/>
          <w:lang w:eastAsia="zh-CN"/>
        </w:rPr>
        <w:t xml:space="preserve">东渚街道2026-2028年度社区居家养老服务设施社会化运营</w:t>
      </w:r>
      <w:r>
        <w:rPr>
          <w:rFonts w:hint="eastAsia" w:ascii="宋体" w:hAnsi="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rPr>
        <w:t xml:space="preserve">采用竞争性磋商方式进行采购，欢迎有资格的供应商前来参加本次磋商采购活动。</w:t>
      </w:r>
      <w:r/>
    </w:p>
    <w:p>
      <w:pPr>
        <w:numPr>
          <w:ilvl w:val="0"/>
          <w:numId w:val="4"/>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采购编号：</w:t>
      </w:r>
      <w:r>
        <w:rPr>
          <w:rFonts w:hint="eastAsia" w:ascii="宋体" w:hAnsi="宋体" w:cs="宋体"/>
          <w:b/>
          <w:bCs/>
          <w:color w:val="auto"/>
          <w:sz w:val="24"/>
          <w:szCs w:val="24"/>
          <w:highlight w:val="none"/>
          <w:lang w:eastAsia="zh-CN"/>
        </w:rPr>
        <w:t xml:space="preserve">JSZC-320505-ZSYY-C2026-0003</w:t>
      </w:r>
      <w:r/>
    </w:p>
    <w:p>
      <w:pPr>
        <w:ind w:left="0" w:right="0" w:firstLine="482"/>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项目名称：</w:t>
      </w:r>
      <w:r>
        <w:rPr>
          <w:rFonts w:hint="eastAsia" w:ascii="宋体" w:hAnsi="宋体" w:cs="宋体"/>
          <w:color w:val="auto"/>
          <w:sz w:val="24"/>
          <w:szCs w:val="24"/>
          <w:highlight w:val="none"/>
          <w:lang w:eastAsia="zh-CN"/>
        </w:rPr>
        <w:t xml:space="preserve">东渚街道2026-2028年度社区居家养老服务设施社会化运营 </w:t>
      </w:r>
      <w:r/>
    </w:p>
    <w:p>
      <w:pPr>
        <w:ind w:left="0" w:right="0" w:firstLine="482"/>
        <w:jc w:val="both"/>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采购</w:t>
      </w:r>
      <w:r>
        <w:rPr>
          <w:rFonts w:hint="eastAsia" w:ascii="宋体" w:hAnsi="宋体" w:cs="宋体"/>
          <w:b/>
          <w:bCs/>
          <w:color w:val="auto"/>
          <w:sz w:val="24"/>
          <w:szCs w:val="24"/>
          <w:highlight w:val="none"/>
          <w:lang w:val="en-US" w:eastAsia="zh-CN"/>
        </w:rPr>
        <w:t xml:space="preserve">预算</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贰佰零贰万零捌佰元整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val="en-US" w:eastAsia="zh-CN"/>
        </w:rPr>
        <w:t xml:space="preserve">2020800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00元</w:t>
      </w:r>
      <w:r>
        <w:rPr>
          <w:rFonts w:hint="eastAsia" w:ascii="宋体" w:hAnsi="宋体" w:eastAsia="宋体" w:cs="宋体"/>
          <w:color w:val="auto"/>
          <w:sz w:val="24"/>
          <w:szCs w:val="24"/>
          <w:highlight w:val="none"/>
        </w:rPr>
        <w:t xml:space="preserve">）</w:t>
      </w:r>
      <w:r/>
    </w:p>
    <w:p>
      <w:pPr>
        <w:pStyle w:val="692"/>
        <w:ind w:left="0" w:firstLine="1680"/>
        <w:spacing w:line="360" w:lineRule="auto"/>
        <w:rPr>
          <w:rFonts w:hint="eastAsia"/>
          <w:color w:val="auto"/>
          <w:sz w:val="24"/>
          <w:highlight w:val="none"/>
          <w:lang w:val="en-US" w:eastAsia="zh-CN"/>
        </w:rPr>
      </w:pPr>
      <w:r>
        <w:rPr>
          <w:rFonts w:hint="eastAsia"/>
          <w:color w:val="auto"/>
          <w:sz w:val="24"/>
          <w:highlight w:val="none"/>
          <w:lang w:val="en-US" w:eastAsia="zh-CN"/>
        </w:rPr>
        <w:t xml:space="preserve">一标段人民币柒拾捌万贰仟肆佰元整（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782400.00元</w:t>
      </w:r>
      <w:r>
        <w:rPr>
          <w:rFonts w:hint="eastAsia"/>
          <w:color w:val="auto"/>
          <w:sz w:val="24"/>
          <w:highlight w:val="none"/>
          <w:lang w:val="en-US" w:eastAsia="zh-CN"/>
        </w:rPr>
        <w:t xml:space="preserve">）</w:t>
      </w:r>
      <w:r/>
    </w:p>
    <w:p>
      <w:pPr>
        <w:pStyle w:val="693"/>
        <w:spacing w:line="360" w:lineRule="auto"/>
        <w:rPr>
          <w:rFonts w:hint="eastAsia"/>
          <w:color w:val="auto"/>
          <w:sz w:val="24"/>
          <w:highlight w:val="none"/>
          <w:lang w:val="en-US" w:eastAsia="zh-CN"/>
        </w:rPr>
      </w:pPr>
      <w:r>
        <w:rPr>
          <w:rFonts w:hint="eastAsia"/>
          <w:color w:val="auto"/>
          <w:sz w:val="24"/>
          <w:highlight w:val="none"/>
          <w:lang w:val="en-US" w:eastAsia="zh-CN"/>
        </w:rPr>
        <w:t xml:space="preserve">     二标段人民币壹佰贰拾叁万捌仟肆佰元整（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1238400.00元</w:t>
      </w:r>
      <w:r>
        <w:rPr>
          <w:rFonts w:hint="eastAsia"/>
          <w:color w:val="auto"/>
          <w:sz w:val="24"/>
          <w:highlight w:val="none"/>
          <w:lang w:val="en-US" w:eastAsia="zh-CN"/>
        </w:rPr>
        <w:t xml:space="preserve">）</w:t>
      </w:r>
      <w:r/>
    </w:p>
    <w:p>
      <w:pPr>
        <w:ind w:left="0" w:right="0" w:firstLine="960"/>
        <w:jc w:val="both"/>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szCs w:val="24"/>
          <w:highlight w:val="none"/>
          <w:lang w:eastAsia="zh-CN"/>
        </w:rPr>
        <w:t xml:space="preserve">人民币贰佰零贰万零捌佰元整（¥202</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eastAsia="zh-CN"/>
        </w:rPr>
        <w:t xml:space="preserve">800.00</w:t>
      </w:r>
      <w:r>
        <w:rPr>
          <w:rFonts w:hint="eastAsia" w:ascii="宋体" w:hAnsi="宋体" w:cs="宋体"/>
          <w:color w:val="auto"/>
          <w:sz w:val="24"/>
          <w:szCs w:val="24"/>
          <w:highlight w:val="none"/>
          <w:lang w:val="en-US" w:eastAsia="zh-CN"/>
        </w:rPr>
        <w:t xml:space="preserve">元</w:t>
      </w:r>
      <w:r>
        <w:rPr>
          <w:rFonts w:hint="eastAsia" w:ascii="宋体" w:hAnsi="宋体" w:cs="宋体"/>
          <w:color w:val="auto"/>
          <w:sz w:val="24"/>
          <w:szCs w:val="24"/>
          <w:highlight w:val="none"/>
          <w:lang w:eastAsia="zh-CN"/>
        </w:rPr>
        <w:t xml:space="preserve">）</w:t>
      </w:r>
      <w:r/>
    </w:p>
    <w:p>
      <w:pPr>
        <w:pStyle w:val="692"/>
        <w:ind w:left="0" w:firstLine="1680"/>
        <w:spacing w:line="360" w:lineRule="auto"/>
        <w:rPr>
          <w:rFonts w:hint="eastAsia"/>
          <w:color w:val="auto"/>
          <w:sz w:val="24"/>
          <w:highlight w:val="none"/>
          <w:lang w:val="en-US" w:eastAsia="zh-CN"/>
        </w:rPr>
      </w:pPr>
      <w:r>
        <w:rPr>
          <w:rFonts w:hint="eastAsia"/>
          <w:color w:val="auto"/>
          <w:sz w:val="24"/>
          <w:highlight w:val="none"/>
          <w:lang w:val="en-US" w:eastAsia="zh-CN"/>
        </w:rPr>
        <w:t xml:space="preserve">一标段人民币柒拾捌万贰仟肆佰元整（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782400.00元</w:t>
      </w:r>
      <w:r>
        <w:rPr>
          <w:rFonts w:hint="eastAsia"/>
          <w:color w:val="auto"/>
          <w:sz w:val="24"/>
          <w:highlight w:val="none"/>
          <w:lang w:val="en-US" w:eastAsia="zh-CN"/>
        </w:rPr>
        <w:t xml:space="preserve">）</w:t>
      </w:r>
      <w:r/>
    </w:p>
    <w:p>
      <w:pPr>
        <w:pStyle w:val="692"/>
        <w:rPr>
          <w:rFonts w:hint="eastAsia" w:ascii="宋体" w:hAnsi="宋体" w:eastAsia="宋体" w:cs="宋体"/>
          <w:color w:val="auto"/>
          <w:sz w:val="24"/>
          <w:szCs w:val="24"/>
          <w:highlight w:val="none"/>
        </w:rPr>
      </w:pPr>
      <w:r>
        <w:rPr>
          <w:rFonts w:hint="eastAsia"/>
          <w:color w:val="auto"/>
          <w:sz w:val="24"/>
          <w:highlight w:val="none"/>
          <w:lang w:val="en-US" w:eastAsia="zh-CN"/>
        </w:rPr>
        <w:t xml:space="preserve"> 二标段人民币壹佰贰拾叁万捌仟肆佰元整（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1238400.00元</w:t>
      </w:r>
      <w:r>
        <w:rPr>
          <w:rFonts w:hint="eastAsia"/>
          <w:color w:val="auto"/>
          <w:sz w:val="24"/>
          <w:highlight w:val="none"/>
          <w:lang w:val="en-US" w:eastAsia="zh-CN"/>
        </w:rPr>
        <w:t xml:space="preserve">）</w:t>
      </w:r>
      <w:r/>
    </w:p>
    <w:p>
      <w:pPr>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asciiTheme="minorEastAsia" w:hAnsiTheme="minorEastAsia"/>
          <w:color w:val="auto"/>
          <w:highlight w:val="none"/>
          <w:lang w:val="en-US"/>
        </w:rPr>
      </w:pPr>
      <w:r>
        <w:rPr>
          <w:rFonts w:hint="eastAsia" w:ascii="宋体" w:hAnsi="宋体" w:cs="宋体"/>
          <w:b w:val="0"/>
          <w:bCs w:val="0"/>
          <w:color w:val="auto"/>
          <w:sz w:val="24"/>
          <w:szCs w:val="24"/>
          <w:highlight w:val="none"/>
          <w:lang w:val="en-US" w:eastAsia="zh-CN"/>
        </w:rPr>
        <w:t xml:space="preserve">四、</w:t>
      </w:r>
      <w:r>
        <w:rPr>
          <w:rFonts w:asciiTheme="minorEastAsia" w:hAnsiTheme="minorEastAsia" w:eastAsiaTheme="minorEastAsia"/>
          <w:b/>
          <w:color w:val="auto"/>
          <w:sz w:val="24"/>
          <w:highlight w:val="none"/>
        </w:rPr>
        <w:t xml:space="preserve">采购明细及需求：</w:t>
      </w:r>
      <w:r/>
    </w:p>
    <w:p>
      <w:pPr>
        <w:ind w:firstLine="482"/>
        <w:spacing w:line="360" w:lineRule="auto"/>
        <w:tabs>
          <w:tab w:val="left" w:pos="840" w:leader="none"/>
        </w:tabs>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服务内容：</w:t>
      </w:r>
      <w:r>
        <w:rPr>
          <w:rFonts w:hint="eastAsia" w:ascii="宋体" w:hAnsi="宋体" w:eastAsia="宋体" w:cs="宋体"/>
          <w:bCs/>
          <w:color w:val="auto"/>
          <w:sz w:val="24"/>
          <w:szCs w:val="24"/>
          <w:highlight w:val="none"/>
        </w:rPr>
        <w:t xml:space="preserve">提供助餐服务、</w:t>
      </w:r>
      <w:r>
        <w:rPr>
          <w:rFonts w:hint="eastAsia" w:ascii="宋体" w:hAnsi="宋体" w:eastAsia="宋体" w:cs="宋体"/>
          <w:bCs/>
          <w:color w:val="auto"/>
          <w:sz w:val="24"/>
          <w:szCs w:val="24"/>
          <w:highlight w:val="none"/>
          <w:lang w:val="en-US" w:eastAsia="zh-CN"/>
        </w:rPr>
        <w:t xml:space="preserve">日间生活</w:t>
      </w:r>
      <w:r>
        <w:rPr>
          <w:rFonts w:hint="eastAsia" w:ascii="宋体" w:hAnsi="宋体" w:eastAsia="宋体" w:cs="宋体"/>
          <w:bCs/>
          <w:color w:val="auto"/>
          <w:sz w:val="24"/>
          <w:szCs w:val="24"/>
          <w:highlight w:val="none"/>
        </w:rPr>
        <w:t xml:space="preserve">照料、</w:t>
      </w:r>
      <w:r>
        <w:rPr>
          <w:rFonts w:hint="eastAsia" w:ascii="宋体" w:hAnsi="宋体" w:eastAsia="宋体" w:cs="宋体"/>
          <w:bCs/>
          <w:color w:val="auto"/>
          <w:sz w:val="24"/>
          <w:szCs w:val="24"/>
          <w:highlight w:val="none"/>
          <w:lang w:val="en-US" w:eastAsia="zh-CN"/>
        </w:rPr>
        <w:t xml:space="preserve">健康指导</w:t>
      </w:r>
      <w:r>
        <w:rPr>
          <w:rFonts w:hint="eastAsia" w:ascii="宋体" w:hAnsi="宋体" w:eastAsia="宋体" w:cs="宋体"/>
          <w:bCs/>
          <w:color w:val="auto"/>
          <w:sz w:val="24"/>
          <w:szCs w:val="24"/>
          <w:highlight w:val="none"/>
        </w:rPr>
        <w:t xml:space="preserve">、文化娱乐、心理（精神）慰藉、便民服务等基本服务项目，拓展康复护理、喘息服务</w:t>
      </w:r>
      <w:r>
        <w:rPr>
          <w:rFonts w:hint="eastAsia" w:ascii="宋体" w:hAnsi="宋体" w:cs="宋体"/>
          <w:bCs/>
          <w:color w:val="auto"/>
          <w:sz w:val="24"/>
          <w:szCs w:val="24"/>
          <w:highlight w:val="none"/>
          <w:lang w:eastAsia="zh-CN"/>
        </w:rPr>
        <w:t xml:space="preserve">、日托</w:t>
      </w:r>
      <w:r>
        <w:rPr>
          <w:rFonts w:hint="eastAsia" w:ascii="宋体" w:hAnsi="宋体" w:eastAsia="宋体" w:cs="宋体"/>
          <w:bCs/>
          <w:color w:val="auto"/>
          <w:sz w:val="24"/>
          <w:szCs w:val="24"/>
          <w:highlight w:val="none"/>
        </w:rPr>
        <w:t xml:space="preserve">等低偿收费服务项目，进行中心内部日常运营管理，并做好参观接待以及街道交办的合理额外工作等。具体服务包括但不限于以下内容：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日间</w:t>
      </w:r>
      <w:r>
        <w:rPr>
          <w:rFonts w:hint="eastAsia" w:ascii="宋体" w:hAnsi="宋体" w:eastAsia="宋体" w:cs="宋体"/>
          <w:b/>
          <w:bCs/>
          <w:color w:val="auto"/>
          <w:sz w:val="24"/>
          <w:szCs w:val="24"/>
          <w:highlight w:val="none"/>
        </w:rPr>
        <w:t xml:space="preserve">生活照料</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1、服务内容：为进驻</w:t>
      </w:r>
      <w:r>
        <w:rPr>
          <w:rFonts w:hint="eastAsia" w:ascii="宋体" w:hAnsi="宋体" w:cs="宋体"/>
          <w:bCs/>
          <w:color w:val="auto"/>
          <w:sz w:val="24"/>
          <w:szCs w:val="24"/>
          <w:highlight w:val="none"/>
          <w:lang w:eastAsia="zh-CN"/>
        </w:rPr>
        <w:t xml:space="preserve">综合为老服务中心、</w:t>
      </w:r>
      <w:r>
        <w:rPr>
          <w:rFonts w:hint="eastAsia" w:ascii="宋体" w:hAnsi="宋体" w:eastAsia="宋体" w:cs="宋体"/>
          <w:bCs/>
          <w:color w:val="auto"/>
          <w:sz w:val="24"/>
          <w:szCs w:val="24"/>
          <w:highlight w:val="none"/>
        </w:rPr>
        <w:t xml:space="preserve">日间照料中心的签约老人提供看护、休息等服务，并建立</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一人一档</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健康档案。</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2、服务要求：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（1）适时开窗通风，保持室内外空气流通，无异味。</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（2）工作日清洁中心卫生，桌面、门窗、地面及墙壁清洁无积灰；室内物品摆放整齐有序；活动场所定期消毒；每周大扫除一次。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（3）中心建立卫生消毒制度，餐具和茶饮严格消毒；对老年人使用的桌椅、手工用品、康复用具、运动器材等定期消毒。</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（4）提供基本的修剪指甲、梳头、理发等基本生活照料服务。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二</w:t>
      </w:r>
      <w:r>
        <w:rPr>
          <w:rFonts w:hint="eastAsia" w:ascii="宋体" w:hAnsi="宋体" w:eastAsia="宋体" w:cs="宋体"/>
          <w:b/>
          <w:bCs/>
          <w:color w:val="auto"/>
          <w:sz w:val="24"/>
          <w:szCs w:val="24"/>
          <w:highlight w:val="none"/>
        </w:rPr>
        <w:t xml:space="preserve">）健康指导</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1、依托卫生服务机构提供常见病多发病护理、慢性病护理、康复指导、心理护理、根据医嘱进行处置、消毒隔离指导、健康教育等服务。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2、提供量血压、测血糖等基本医疗卫生服务，定期开展慢性病管理、常见病护理、养生保健、用药指导等医疗护理的知识讲座等。</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3、开展营养指导、康复指导、健康宣教等医疗护理知识讲座。</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4、定期组织人员举办健康知识培训，加强老年健康教育，提供疾病预防、伤害预防、自救及自我保健等健康指导。</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5、建立医疗应急机制，与附近医疗机构建立联系制度，以便在发生紧急情况时能与医疗机构取得联系，及时予以救助。</w:t>
      </w:r>
      <w:r/>
    </w:p>
    <w:p>
      <w:pPr>
        <w:ind w:firstLine="480"/>
        <w:spacing w:line="360" w:lineRule="auto"/>
        <w:rPr>
          <w:rFonts w:hint="eastAsia" w:ascii="宋体" w:hAnsi="宋体" w:cs="宋体"/>
          <w:bCs/>
          <w:color w:val="auto"/>
          <w:sz w:val="24"/>
          <w:szCs w:val="24"/>
          <w:highlight w:val="none"/>
          <w:lang w:eastAsia="zh-CN"/>
        </w:rPr>
        <w:outlineLvl w:val="9"/>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开展认知症障碍筛查干预</w:t>
      </w:r>
      <w:r>
        <w:rPr>
          <w:rFonts w:hint="eastAsia" w:ascii="宋体" w:hAnsi="宋体" w:cs="宋体"/>
          <w:bCs/>
          <w:color w:val="auto"/>
          <w:sz w:val="24"/>
          <w:szCs w:val="24"/>
          <w:highlight w:val="none"/>
          <w:lang w:eastAsia="zh-CN"/>
        </w:rPr>
        <w:t xml:space="preserve">，为老年认知障碍家庭提供认知障碍相关信息，为家庭照料者开展培训，定期开展活动。</w:t>
      </w:r>
      <w:r/>
    </w:p>
    <w:p>
      <w:pPr>
        <w:ind w:firstLine="480"/>
        <w:spacing w:line="360" w:lineRule="auto"/>
        <w:rPr>
          <w:rFonts w:hint="eastAsia"/>
          <w:color w:val="auto"/>
          <w:highlight w:val="none"/>
          <w:lang w:eastAsia="zh-CN"/>
        </w:rPr>
        <w:outlineLvl w:val="9"/>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lang w:eastAsia="zh-CN"/>
        </w:rPr>
        <w:t xml:space="preserve">、配合区、街道开展老年人能力筛查评估，有评估场所和评估人员。</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）文体娱乐</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结合节日</w:t>
      </w:r>
      <w:r>
        <w:rPr>
          <w:rFonts w:hint="eastAsia" w:ascii="宋体" w:hAnsi="宋体" w:eastAsia="宋体" w:cs="宋体"/>
          <w:bCs/>
          <w:color w:val="auto"/>
          <w:sz w:val="24"/>
          <w:szCs w:val="24"/>
          <w:highlight w:val="none"/>
        </w:rPr>
        <w:t xml:space="preserve">组织老年</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开展各种类型有益于身心健康的文体娱乐活动，内容包括组织</w:t>
      </w:r>
      <w:r>
        <w:rPr>
          <w:rFonts w:hint="eastAsia" w:ascii="宋体" w:hAnsi="宋体" w:eastAsia="宋体" w:cs="宋体"/>
          <w:bCs/>
          <w:color w:val="auto"/>
          <w:sz w:val="24"/>
          <w:szCs w:val="24"/>
          <w:highlight w:val="none"/>
          <w:lang w:val="en-US" w:eastAsia="zh-CN"/>
        </w:rPr>
        <w:t xml:space="preserve">绘画</w:t>
      </w:r>
      <w:r>
        <w:rPr>
          <w:rFonts w:hint="eastAsia" w:ascii="宋体" w:hAnsi="宋体" w:eastAsia="宋体" w:cs="宋体"/>
          <w:bCs/>
          <w:color w:val="auto"/>
          <w:sz w:val="24"/>
          <w:szCs w:val="24"/>
          <w:highlight w:val="none"/>
        </w:rPr>
        <w:t xml:space="preserve">、唱歌、戏曲、趣味活动、</w:t>
      </w:r>
      <w:r>
        <w:rPr>
          <w:rFonts w:hint="eastAsia" w:ascii="宋体" w:hAnsi="宋体" w:eastAsia="宋体" w:cs="宋体"/>
          <w:bCs/>
          <w:color w:val="auto"/>
          <w:sz w:val="24"/>
          <w:szCs w:val="24"/>
          <w:highlight w:val="none"/>
          <w:lang w:val="en-US" w:eastAsia="zh-CN"/>
        </w:rPr>
        <w:t xml:space="preserve">广场舞</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集体生日会</w:t>
      </w:r>
      <w:r>
        <w:rPr>
          <w:rFonts w:hint="eastAsia" w:ascii="宋体" w:hAnsi="宋体" w:eastAsia="宋体" w:cs="宋体"/>
          <w:bCs/>
          <w:color w:val="auto"/>
          <w:sz w:val="24"/>
          <w:szCs w:val="24"/>
          <w:highlight w:val="none"/>
        </w:rPr>
        <w:t xml:space="preserve">等</w:t>
      </w:r>
      <w:r>
        <w:rPr>
          <w:rFonts w:hint="eastAsia" w:ascii="宋体" w:hAnsi="宋体" w:eastAsia="宋体" w:cs="宋体"/>
          <w:bCs/>
          <w:color w:val="auto"/>
          <w:sz w:val="24"/>
          <w:szCs w:val="24"/>
          <w:highlight w:val="none"/>
          <w:lang w:val="en-US" w:eastAsia="zh-CN"/>
        </w:rPr>
        <w:t xml:space="preserve">活动</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2、制定相关管理制度规范，明确活动设施场所的开放时段、注意事项、服务保障措施，在不同时段安排适宜的活动方式，确保不影响老年人正常休息和身体健康。</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3、所有活动遵守安全、自愿原则，满足老年人身体和精神健康的条件和需求。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4、活动场所由专人定期打扫清理，确保干净整洁。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四</w:t>
      </w:r>
      <w:r>
        <w:rPr>
          <w:rFonts w:hint="eastAsia" w:ascii="宋体" w:hAnsi="宋体" w:eastAsia="宋体" w:cs="宋体"/>
          <w:b/>
          <w:bCs/>
          <w:color w:val="auto"/>
          <w:sz w:val="24"/>
          <w:szCs w:val="24"/>
          <w:highlight w:val="none"/>
        </w:rPr>
        <w:t xml:space="preserve">）心理（精神）慰藉</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1、及时掌握签约服务老年人的心理变化，满足老年人心理需要，促进老年人心理健康。</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3、心理慰藉服务应注意保护服务对象的隐私权。</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4、心理慰藉服务的人员主要由心理咨询师、社会工作师、医护人员担任。</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5、要有危机处理的意识，制定相应的危机处理预案和程序。必要时可提供相关信息寻求专业支持，或转介专业服务机构提供服务。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）助餐服务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1、助餐内容</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（1）主要提供午间助餐服务。白天子女上班，没有时间给老人做饭，老人可以到日间照料中心</w:t>
      </w:r>
      <w:r>
        <w:rPr>
          <w:rFonts w:hint="eastAsia" w:ascii="宋体" w:hAnsi="宋体" w:eastAsia="宋体" w:cs="宋体"/>
          <w:bCs/>
          <w:color w:val="auto"/>
          <w:sz w:val="24"/>
          <w:szCs w:val="24"/>
          <w:highlight w:val="none"/>
          <w:lang w:val="en-US" w:eastAsia="zh-CN"/>
        </w:rPr>
        <w:t xml:space="preserve">申请助餐服务，就</w:t>
      </w:r>
      <w:r>
        <w:rPr>
          <w:rFonts w:hint="eastAsia" w:ascii="宋体" w:hAnsi="宋体" w:eastAsia="宋体" w:cs="宋体"/>
          <w:bCs/>
          <w:color w:val="auto"/>
          <w:sz w:val="24"/>
          <w:szCs w:val="24"/>
          <w:highlight w:val="none"/>
        </w:rPr>
        <w:t xml:space="preserve">可以享有可口的饭菜，晚上</w:t>
      </w:r>
      <w:r>
        <w:rPr>
          <w:rFonts w:hint="eastAsia" w:ascii="宋体" w:hAnsi="宋体" w:eastAsia="宋体" w:cs="宋体"/>
          <w:bCs/>
          <w:color w:val="auto"/>
          <w:sz w:val="24"/>
          <w:szCs w:val="24"/>
          <w:highlight w:val="none"/>
          <w:lang w:val="en-US" w:eastAsia="zh-CN"/>
        </w:rPr>
        <w:t xml:space="preserve">再回家与</w:t>
      </w:r>
      <w:r>
        <w:rPr>
          <w:rFonts w:hint="eastAsia" w:ascii="宋体" w:hAnsi="宋体" w:eastAsia="宋体" w:cs="宋体"/>
          <w:bCs/>
          <w:color w:val="auto"/>
          <w:sz w:val="24"/>
          <w:szCs w:val="24"/>
          <w:highlight w:val="none"/>
        </w:rPr>
        <w:t xml:space="preserve">子女共享天伦。</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（2）根据实际需要，向周边小区日间照料服务站提供</w:t>
      </w:r>
      <w:r>
        <w:rPr>
          <w:rFonts w:hint="eastAsia" w:ascii="宋体" w:hAnsi="宋体" w:eastAsia="宋体" w:cs="宋体"/>
          <w:bCs/>
          <w:color w:val="auto"/>
          <w:sz w:val="24"/>
          <w:szCs w:val="24"/>
          <w:highlight w:val="none"/>
          <w:lang w:val="en-US" w:eastAsia="zh-CN"/>
        </w:rPr>
        <w:t xml:space="preserve">配</w:t>
      </w:r>
      <w:r>
        <w:rPr>
          <w:rFonts w:hint="eastAsia" w:ascii="宋体" w:hAnsi="宋体" w:eastAsia="宋体" w:cs="宋体"/>
          <w:bCs/>
          <w:color w:val="auto"/>
          <w:sz w:val="24"/>
          <w:szCs w:val="24"/>
          <w:highlight w:val="none"/>
        </w:rPr>
        <w:t xml:space="preserve">送餐服务，</w:t>
      </w:r>
      <w:r>
        <w:rPr>
          <w:rFonts w:hint="eastAsia" w:ascii="宋体" w:hAnsi="宋体" w:eastAsia="宋体" w:cs="宋体"/>
          <w:bCs/>
          <w:color w:val="auto"/>
          <w:sz w:val="24"/>
          <w:szCs w:val="24"/>
          <w:highlight w:val="none"/>
          <w:lang w:val="en-US" w:eastAsia="zh-CN"/>
        </w:rPr>
        <w:t xml:space="preserve">实行</w:t>
      </w:r>
      <w:r>
        <w:rPr>
          <w:rFonts w:hint="eastAsia" w:ascii="宋体" w:hAnsi="宋体" w:eastAsia="宋体" w:cs="宋体"/>
          <w:bCs/>
          <w:color w:val="auto"/>
          <w:sz w:val="24"/>
          <w:szCs w:val="24"/>
          <w:highlight w:val="none"/>
        </w:rPr>
        <w:t xml:space="preserve">统一管理。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2、助餐要求</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（1）助餐服务需符合国家食品安全法律法规的规定和食品行业标准。助餐服务人员应身体健康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无传染性疾病</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（2）提供助餐服务应根据营养、卫生的要求、老年人需求、地域特点、民族、宗教习惯制定菜谱，为老年人提供营养丰富、全面合理的均衡饮食，做到荤素搭配、干稀搭配、粗细搭配合理，每周有食谱。</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（3）应在醒目处公示助餐服务时间、服务须知等，保持内外环境及餐桌整洁，餐具须每餐消毒一次。给予老年人充分的用餐时间，服务过程细致、周到、亲切</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注意观察老年人用餐安全，发现异常及时处理。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（4）需招募与配送餐服务量相匹配的送餐志愿者，并负责送餐人员的意外险购买及其他补贴或福利等相关费用。</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分餐、送餐应及时，饮食应保温、保鲜、密闭、防止细菌滋生，提供符合保温、保鲜要求的设备及运输工具，保证及时、准确、安全地将餐饮送达。送餐时要注意核对老年人的姓名、菜品及数量，确定无误后签收，服务时礼貌、周到、细致。送餐上门服务实行有偿服务，可向用餐老人另收1元送餐费。</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（6）日间照料中心食堂经营日常运营要符合食品安全的相关规定，并且符合国家食品安全法律法规的规定和食品行业标准。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3、助餐对象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居住</w:t>
      </w:r>
      <w:r>
        <w:rPr>
          <w:rFonts w:hint="eastAsia" w:ascii="宋体" w:hAnsi="宋体" w:cs="宋体"/>
          <w:bCs/>
          <w:color w:val="auto"/>
          <w:sz w:val="24"/>
          <w:szCs w:val="24"/>
          <w:highlight w:val="none"/>
          <w:lang w:eastAsia="zh-CN"/>
        </w:rPr>
        <w:t xml:space="preserve">科技城、东渚街道辖区且在综合为老中心、</w:t>
      </w:r>
      <w:r>
        <w:rPr>
          <w:rFonts w:hint="eastAsia" w:ascii="宋体" w:hAnsi="宋体" w:eastAsia="宋体" w:cs="宋体"/>
          <w:bCs/>
          <w:color w:val="auto"/>
          <w:sz w:val="24"/>
          <w:szCs w:val="24"/>
          <w:highlight w:val="none"/>
          <w:lang w:eastAsia="zh-CN"/>
        </w:rPr>
        <w:t xml:space="preserve">日间照料中心</w:t>
      </w:r>
      <w:r>
        <w:rPr>
          <w:rFonts w:hint="eastAsia" w:ascii="宋体" w:hAnsi="宋体" w:eastAsia="宋体" w:cs="宋体"/>
          <w:bCs/>
          <w:color w:val="auto"/>
          <w:sz w:val="24"/>
          <w:szCs w:val="24"/>
          <w:highlight w:val="none"/>
          <w:lang w:val="en-US" w:eastAsia="zh-CN"/>
        </w:rPr>
        <w:t xml:space="preserve">周边小区</w:t>
      </w:r>
      <w:r>
        <w:rPr>
          <w:rFonts w:hint="eastAsia" w:ascii="宋体" w:hAnsi="宋体" w:cs="宋体"/>
          <w:bCs/>
          <w:color w:val="auto"/>
          <w:sz w:val="24"/>
          <w:szCs w:val="24"/>
          <w:highlight w:val="none"/>
          <w:lang w:val="en-US" w:eastAsia="zh-CN"/>
        </w:rPr>
        <w:t xml:space="preserve">且</w:t>
      </w:r>
      <w:r>
        <w:rPr>
          <w:rFonts w:hint="eastAsia" w:ascii="宋体" w:hAnsi="宋体" w:eastAsia="宋体" w:cs="宋体"/>
          <w:bCs/>
          <w:color w:val="auto"/>
          <w:sz w:val="24"/>
          <w:szCs w:val="24"/>
          <w:highlight w:val="none"/>
        </w:rPr>
        <w:t xml:space="preserve">年满60周岁有助餐需求的老人。</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4、助餐方式</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（1）堂食：生活能自理的老人自行至日间照料中心集中就餐</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实行分餐制。</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（2）送餐：行动不便，无法到中心就餐的残疾、高龄、政府援助对象等老人，可提供上门送餐服务，每餐增收送餐费1元。</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5、餐费标准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标准餐标每餐</w:t>
      </w:r>
      <w:r>
        <w:rPr>
          <w:rFonts w:hint="eastAsia" w:ascii="宋体" w:hAnsi="宋体" w:eastAsia="宋体" w:cs="宋体"/>
          <w:bCs/>
          <w:color w:val="auto"/>
          <w:sz w:val="24"/>
          <w:szCs w:val="24"/>
          <w:highlight w:val="none"/>
        </w:rPr>
        <w:t xml:space="preserve">10元，每餐不少于一大荤、两素菜、两份饭；允许运营单位开展个性化定制，满足老人不同需求，超出标准部分老人可以根据需要另外自行支付购买。</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实际服务过程中可根据老人需求经街道同意后，提供不同标准的配餐，丰富老年人选择。</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补贴</w:t>
      </w:r>
      <w:r>
        <w:rPr>
          <w:rFonts w:hint="eastAsia" w:ascii="宋体" w:hAnsi="宋体" w:eastAsia="宋体" w:cs="宋体"/>
          <w:bCs/>
          <w:color w:val="auto"/>
          <w:sz w:val="24"/>
          <w:szCs w:val="24"/>
          <w:highlight w:val="none"/>
        </w:rPr>
        <w:t xml:space="preserve">标准</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具有科技城、东渚街道户籍且年满</w:t>
      </w:r>
      <w:r>
        <w:rPr>
          <w:rFonts w:hint="eastAsia" w:ascii="宋体" w:hAnsi="宋体" w:eastAsia="宋体" w:cs="宋体"/>
          <w:bCs/>
          <w:color w:val="auto"/>
          <w:sz w:val="24"/>
          <w:szCs w:val="24"/>
          <w:highlight w:val="none"/>
        </w:rPr>
        <w:t xml:space="preserve">80周岁及80周岁以上老人</w:t>
      </w:r>
      <w:r>
        <w:rPr>
          <w:rFonts w:hint="eastAsia" w:ascii="宋体" w:hAnsi="宋体" w:cs="宋体"/>
          <w:bCs/>
          <w:color w:val="auto"/>
          <w:sz w:val="24"/>
          <w:szCs w:val="24"/>
          <w:highlight w:val="none"/>
          <w:lang w:eastAsia="zh-CN"/>
        </w:rPr>
        <w:t xml:space="preserve">补贴</w:t>
      </w:r>
      <w:r>
        <w:rPr>
          <w:rFonts w:hint="eastAsia" w:ascii="宋体" w:hAnsi="宋体" w:cs="宋体"/>
          <w:bCs/>
          <w:color w:val="auto"/>
          <w:sz w:val="24"/>
          <w:szCs w:val="24"/>
          <w:highlight w:val="none"/>
          <w:lang w:val="en-US" w:eastAsia="zh-CN"/>
        </w:rPr>
        <w:t xml:space="preserve">4元</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具有科技城、东渚街道户籍且</w:t>
      </w:r>
      <w:r>
        <w:rPr>
          <w:rFonts w:hint="eastAsia" w:ascii="宋体" w:hAnsi="宋体" w:eastAsia="宋体" w:cs="宋体"/>
          <w:bCs/>
          <w:color w:val="auto"/>
          <w:sz w:val="24"/>
          <w:szCs w:val="24"/>
          <w:highlight w:val="none"/>
        </w:rPr>
        <w:t xml:space="preserve">年满60周岁的低保家庭老人及低边、重残老人本人</w:t>
      </w:r>
      <w:r>
        <w:rPr>
          <w:rFonts w:hint="eastAsia" w:ascii="宋体" w:hAnsi="宋体" w:cs="宋体"/>
          <w:bCs/>
          <w:color w:val="auto"/>
          <w:sz w:val="24"/>
          <w:szCs w:val="24"/>
          <w:highlight w:val="none"/>
          <w:lang w:eastAsia="zh-CN"/>
        </w:rPr>
        <w:t xml:space="preserve">补贴</w:t>
      </w:r>
      <w:r>
        <w:rPr>
          <w:rFonts w:hint="eastAsia" w:ascii="宋体" w:hAnsi="宋体" w:cs="宋体"/>
          <w:bCs/>
          <w:color w:val="auto"/>
          <w:sz w:val="24"/>
          <w:szCs w:val="24"/>
          <w:highlight w:val="none"/>
          <w:lang w:val="en-US" w:eastAsia="zh-CN"/>
        </w:rPr>
        <w:t xml:space="preserve">6元</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以上</w:t>
      </w:r>
      <w:r>
        <w:rPr>
          <w:rFonts w:hint="eastAsia" w:ascii="宋体" w:hAnsi="宋体" w:cs="宋体"/>
          <w:bCs/>
          <w:color w:val="auto"/>
          <w:sz w:val="24"/>
          <w:szCs w:val="24"/>
          <w:highlight w:val="none"/>
          <w:lang w:eastAsia="zh-CN"/>
        </w:rPr>
        <w:t xml:space="preserve">助餐时间、补贴政策，</w:t>
      </w:r>
      <w:r>
        <w:rPr>
          <w:rFonts w:hint="eastAsia" w:ascii="宋体" w:hAnsi="宋体" w:eastAsia="宋体" w:cs="宋体"/>
          <w:bCs/>
          <w:color w:val="auto"/>
          <w:sz w:val="24"/>
          <w:szCs w:val="24"/>
          <w:highlight w:val="none"/>
        </w:rPr>
        <w:t xml:space="preserve">根据</w:t>
      </w:r>
      <w:r>
        <w:rPr>
          <w:rFonts w:hint="eastAsia" w:ascii="宋体" w:hAnsi="宋体" w:cs="宋体"/>
          <w:bCs/>
          <w:color w:val="auto"/>
          <w:sz w:val="24"/>
          <w:szCs w:val="24"/>
          <w:highlight w:val="none"/>
          <w:lang w:eastAsia="zh-CN"/>
        </w:rPr>
        <w:t xml:space="preserve">市、区、街道</w:t>
      </w:r>
      <w:r>
        <w:rPr>
          <w:rFonts w:hint="eastAsia" w:ascii="宋体" w:hAnsi="宋体" w:eastAsia="宋体" w:cs="宋体"/>
          <w:bCs/>
          <w:color w:val="auto"/>
          <w:sz w:val="24"/>
          <w:szCs w:val="24"/>
          <w:highlight w:val="none"/>
        </w:rPr>
        <w:t xml:space="preserve">要求进行</w:t>
      </w:r>
      <w:r>
        <w:rPr>
          <w:rFonts w:hint="eastAsia" w:ascii="宋体" w:hAnsi="宋体" w:cs="宋体"/>
          <w:bCs/>
          <w:color w:val="auto"/>
          <w:sz w:val="24"/>
          <w:szCs w:val="24"/>
          <w:highlight w:val="none"/>
          <w:lang w:eastAsia="zh-CN"/>
        </w:rPr>
        <w:t xml:space="preserve">动态</w:t>
      </w:r>
      <w:r>
        <w:rPr>
          <w:rFonts w:hint="eastAsia" w:ascii="宋体" w:hAnsi="宋体" w:eastAsia="宋体" w:cs="宋体"/>
          <w:bCs/>
          <w:color w:val="auto"/>
          <w:sz w:val="24"/>
          <w:szCs w:val="24"/>
          <w:highlight w:val="none"/>
        </w:rPr>
        <w:t xml:space="preserve">调整。</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7、结算方式</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单位统一给</w:t>
      </w:r>
      <w:r>
        <w:rPr>
          <w:rFonts w:hint="eastAsia" w:ascii="宋体" w:hAnsi="宋体" w:eastAsia="宋体" w:cs="宋体"/>
          <w:bCs/>
          <w:color w:val="auto"/>
          <w:sz w:val="24"/>
          <w:szCs w:val="24"/>
          <w:highlight w:val="none"/>
          <w:lang w:val="en-US" w:eastAsia="zh-CN"/>
        </w:rPr>
        <w:t xml:space="preserve">申请</w:t>
      </w:r>
      <w:r>
        <w:rPr>
          <w:rFonts w:hint="eastAsia" w:ascii="宋体" w:hAnsi="宋体" w:eastAsia="宋体" w:cs="宋体"/>
          <w:bCs/>
          <w:color w:val="auto"/>
          <w:sz w:val="24"/>
          <w:szCs w:val="24"/>
          <w:highlight w:val="none"/>
        </w:rPr>
        <w:t xml:space="preserve">助餐</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老人办理就餐卡，由就餐老人</w:t>
      </w:r>
      <w:r>
        <w:rPr>
          <w:rFonts w:hint="eastAsia" w:ascii="宋体" w:hAnsi="宋体" w:eastAsia="宋体" w:cs="宋体"/>
          <w:bCs/>
          <w:color w:val="auto"/>
          <w:sz w:val="24"/>
          <w:szCs w:val="24"/>
          <w:highlight w:val="none"/>
          <w:lang w:val="en-US" w:eastAsia="zh-CN"/>
        </w:rPr>
        <w:t xml:space="preserve">或家属定期</w:t>
      </w:r>
      <w:r>
        <w:rPr>
          <w:rFonts w:hint="eastAsia" w:ascii="宋体" w:hAnsi="宋体" w:eastAsia="宋体" w:cs="宋体"/>
          <w:bCs/>
          <w:color w:val="auto"/>
          <w:sz w:val="24"/>
          <w:szCs w:val="24"/>
          <w:highlight w:val="none"/>
        </w:rPr>
        <w:t xml:space="preserve">缴费充值</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中标单位统一</w:t>
      </w:r>
      <w:r>
        <w:rPr>
          <w:rFonts w:hint="eastAsia" w:ascii="宋体" w:hAnsi="宋体" w:eastAsia="宋体" w:cs="宋体"/>
          <w:bCs/>
          <w:color w:val="auto"/>
          <w:sz w:val="24"/>
          <w:szCs w:val="24"/>
          <w:highlight w:val="none"/>
        </w:rPr>
        <w:t xml:space="preserve">刷卡。</w:t>
      </w:r>
      <w:r>
        <w:rPr>
          <w:rFonts w:hint="eastAsia" w:ascii="宋体" w:hAnsi="宋体" w:cs="宋体"/>
          <w:bCs/>
          <w:color w:val="auto"/>
          <w:sz w:val="24"/>
          <w:szCs w:val="24"/>
          <w:highlight w:val="none"/>
          <w:lang w:eastAsia="zh-CN"/>
        </w:rPr>
        <w:t xml:space="preserve">服务</w:t>
      </w:r>
      <w:r>
        <w:rPr>
          <w:rFonts w:hint="eastAsia" w:ascii="宋体" w:hAnsi="宋体" w:eastAsia="宋体" w:cs="宋体"/>
          <w:bCs/>
          <w:color w:val="auto"/>
          <w:sz w:val="24"/>
          <w:szCs w:val="24"/>
          <w:highlight w:val="none"/>
        </w:rPr>
        <w:t xml:space="preserve">单位在收取费用时对上述优惠对象（由采购单位核定）按</w:t>
      </w:r>
      <w:r>
        <w:rPr>
          <w:rFonts w:hint="eastAsia" w:ascii="宋体" w:hAnsi="宋体" w:cs="宋体"/>
          <w:bCs/>
          <w:color w:val="auto"/>
          <w:sz w:val="24"/>
          <w:szCs w:val="24"/>
          <w:highlight w:val="none"/>
          <w:lang w:eastAsia="zh-CN"/>
        </w:rPr>
        <w:t xml:space="preserve">补贴后价格</w:t>
      </w:r>
      <w:r>
        <w:rPr>
          <w:rFonts w:hint="eastAsia" w:ascii="宋体" w:hAnsi="宋体" w:eastAsia="宋体" w:cs="宋体"/>
          <w:bCs/>
          <w:color w:val="auto"/>
          <w:sz w:val="24"/>
          <w:szCs w:val="24"/>
          <w:highlight w:val="none"/>
        </w:rPr>
        <w:t xml:space="preserve">收取；差额由采购人统一补贴，每月汇总用餐明细，</w:t>
      </w:r>
      <w:r>
        <w:rPr>
          <w:rFonts w:hint="eastAsia" w:ascii="宋体" w:hAnsi="宋体" w:cs="宋体"/>
          <w:bCs/>
          <w:color w:val="auto"/>
          <w:sz w:val="24"/>
          <w:szCs w:val="24"/>
          <w:highlight w:val="none"/>
          <w:lang w:eastAsia="zh-CN"/>
        </w:rPr>
        <w:t xml:space="preserve">用餐情况</w:t>
      </w:r>
      <w:r>
        <w:rPr>
          <w:rFonts w:hint="eastAsia" w:ascii="宋体" w:hAnsi="宋体" w:eastAsia="宋体" w:cs="宋体"/>
          <w:bCs/>
          <w:color w:val="auto"/>
          <w:sz w:val="24"/>
          <w:szCs w:val="24"/>
          <w:highlight w:val="none"/>
        </w:rPr>
        <w:t xml:space="preserve">经</w:t>
      </w:r>
      <w:r>
        <w:rPr>
          <w:rFonts w:hint="eastAsia" w:ascii="宋体" w:hAnsi="宋体" w:cs="宋体"/>
          <w:bCs/>
          <w:color w:val="auto"/>
          <w:sz w:val="24"/>
          <w:szCs w:val="24"/>
          <w:highlight w:val="none"/>
          <w:lang w:eastAsia="zh-CN"/>
        </w:rPr>
        <w:t xml:space="preserve">老人（或老人家属）</w:t>
      </w:r>
      <w:r>
        <w:rPr>
          <w:rFonts w:hint="eastAsia" w:ascii="宋体" w:hAnsi="宋体" w:eastAsia="宋体" w:cs="宋体"/>
          <w:bCs/>
          <w:color w:val="auto"/>
          <w:sz w:val="24"/>
          <w:szCs w:val="24"/>
          <w:highlight w:val="none"/>
        </w:rPr>
        <w:t xml:space="preserve">核对后签字</w:t>
      </w:r>
      <w:r>
        <w:rPr>
          <w:rFonts w:hint="eastAsia" w:ascii="宋体" w:hAnsi="宋体" w:cs="宋体"/>
          <w:bCs/>
          <w:color w:val="auto"/>
          <w:sz w:val="24"/>
          <w:szCs w:val="24"/>
          <w:highlight w:val="none"/>
          <w:lang w:eastAsia="zh-CN"/>
        </w:rPr>
        <w:t xml:space="preserve">确认</w:t>
      </w:r>
      <w:r>
        <w:rPr>
          <w:rFonts w:hint="eastAsia" w:ascii="宋体" w:hAnsi="宋体" w:eastAsia="宋体" w:cs="宋体"/>
          <w:bCs/>
          <w:color w:val="auto"/>
          <w:sz w:val="24"/>
          <w:szCs w:val="24"/>
          <w:highlight w:val="none"/>
        </w:rPr>
        <w:t xml:space="preserve">，每</w:t>
      </w:r>
      <w:r>
        <w:rPr>
          <w:rFonts w:hint="eastAsia" w:ascii="宋体" w:hAnsi="宋体" w:cs="宋体"/>
          <w:bCs/>
          <w:color w:val="auto"/>
          <w:sz w:val="24"/>
          <w:szCs w:val="24"/>
          <w:highlight w:val="none"/>
          <w:lang w:eastAsia="zh-CN"/>
        </w:rPr>
        <w:t xml:space="preserve">半年</w:t>
      </w:r>
      <w:r>
        <w:rPr>
          <w:rFonts w:hint="eastAsia" w:ascii="宋体" w:hAnsi="宋体" w:eastAsia="宋体" w:cs="宋体"/>
          <w:bCs/>
          <w:color w:val="auto"/>
          <w:sz w:val="24"/>
          <w:szCs w:val="24"/>
          <w:highlight w:val="none"/>
        </w:rPr>
        <w:t xml:space="preserve">结算一次差额补贴。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）其它服务</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1、可根据自身条件拓展开展</w:t>
      </w:r>
      <w:r>
        <w:rPr>
          <w:rFonts w:hint="eastAsia" w:ascii="宋体" w:hAnsi="宋体" w:eastAsia="宋体" w:cs="宋体"/>
          <w:bCs/>
          <w:color w:val="auto"/>
          <w:sz w:val="24"/>
          <w:szCs w:val="24"/>
          <w:highlight w:val="none"/>
          <w:lang w:val="en-US" w:eastAsia="zh-CN"/>
        </w:rPr>
        <w:t xml:space="preserve">服务需求调研、</w:t>
      </w:r>
      <w:r>
        <w:rPr>
          <w:rFonts w:hint="eastAsia" w:ascii="宋体" w:hAnsi="宋体" w:eastAsia="宋体" w:cs="宋体"/>
          <w:bCs/>
          <w:color w:val="auto"/>
          <w:sz w:val="24"/>
          <w:szCs w:val="24"/>
          <w:highlight w:val="none"/>
        </w:rPr>
        <w:t xml:space="preserve">助洁、助医、助行、代办、康复护理、法律咨询等服务项目的内容。有低偿服务的项目应在投标文件服务方案中进行报价（但不计入总价），并在中标后报物价部门备案后上墙公布。</w:t>
      </w:r>
      <w:r/>
    </w:p>
    <w:p>
      <w:pPr>
        <w:ind w:firstLine="480"/>
        <w:spacing w:line="360" w:lineRule="auto"/>
        <w:rPr>
          <w:rFonts w:hint="eastAsia"/>
          <w:color w:val="auto"/>
          <w:highlight w:val="none"/>
        </w:rPr>
        <w:outlineLvl w:val="9"/>
      </w:pPr>
      <w:r>
        <w:rPr>
          <w:rFonts w:hint="eastAsia" w:ascii="宋体" w:hAnsi="宋体" w:eastAsia="宋体" w:cs="宋体"/>
          <w:bCs/>
          <w:color w:val="auto"/>
          <w:sz w:val="24"/>
          <w:szCs w:val="24"/>
          <w:highlight w:val="none"/>
        </w:rPr>
        <w:t xml:space="preserve">2、做好日间照料中心的日常清洁卫生；内部设施、设施设备的维护和管理；配合和协助当地公安、消防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卫生</w:t>
      </w:r>
      <w:r>
        <w:rPr>
          <w:rFonts w:hint="eastAsia" w:ascii="宋体" w:hAnsi="宋体" w:eastAsia="宋体" w:cs="宋体"/>
          <w:bCs/>
          <w:color w:val="auto"/>
          <w:sz w:val="24"/>
          <w:szCs w:val="24"/>
          <w:highlight w:val="none"/>
        </w:rPr>
        <w:t xml:space="preserve">等部门进行安全监控和巡视等安全工作</w:t>
      </w:r>
      <w:r>
        <w:rPr>
          <w:rFonts w:hint="eastAsia" w:ascii="宋体" w:hAnsi="宋体" w:cs="宋体"/>
          <w:bCs/>
          <w:color w:val="auto"/>
          <w:sz w:val="24"/>
          <w:szCs w:val="24"/>
          <w:highlight w:val="none"/>
          <w:lang w:eastAsia="zh-CN"/>
        </w:rPr>
        <w:t xml:space="preserve">，每半年开展一次安全演练</w:t>
      </w:r>
      <w:r>
        <w:rPr>
          <w:rFonts w:hint="eastAsia" w:ascii="宋体" w:hAnsi="宋体" w:eastAsia="宋体" w:cs="宋体"/>
          <w:bCs/>
          <w:color w:val="auto"/>
          <w:sz w:val="24"/>
          <w:szCs w:val="24"/>
          <w:highlight w:val="none"/>
        </w:rPr>
        <w:t xml:space="preserve">（但不含老人财产保管责任）。</w:t>
      </w:r>
      <w:r/>
    </w:p>
    <w:p>
      <w:pPr>
        <w:ind w:firstLine="482"/>
        <w:spacing w:line="360" w:lineRule="auto"/>
        <w:rPr>
          <w:rFonts w:asciiTheme="minorEastAsia" w:hAnsiTheme="minorEastAsia"/>
          <w:b/>
          <w:bCs/>
          <w:color w:val="auto"/>
          <w:sz w:val="24"/>
          <w:highlight w:val="none"/>
        </w:rPr>
      </w:pPr>
      <w:r>
        <w:rPr>
          <w:rFonts w:hint="eastAsia" w:asciiTheme="minorEastAsia" w:hAnsiTheme="minorEastAsia"/>
          <w:b/>
          <w:color w:val="auto"/>
          <w:sz w:val="24"/>
          <w:highlight w:val="none"/>
        </w:rPr>
        <w:t xml:space="preserve">第一标段：</w:t>
      </w:r>
      <w:r>
        <w:rPr>
          <w:rFonts w:hint="eastAsia" w:ascii="宋体" w:hAnsi="宋体"/>
          <w:b/>
          <w:color w:val="auto"/>
          <w:sz w:val="24"/>
          <w:highlight w:val="none"/>
        </w:rPr>
        <w:t xml:space="preserve">龙惠</w:t>
      </w:r>
      <w:r>
        <w:rPr>
          <w:rFonts w:hint="eastAsia" w:ascii="宋体" w:hAnsi="宋体"/>
          <w:b/>
          <w:color w:val="auto"/>
          <w:sz w:val="24"/>
          <w:highlight w:val="none"/>
          <w:lang w:eastAsia="zh-CN"/>
        </w:rPr>
        <w:t xml:space="preserve">综合为老服务</w:t>
      </w:r>
      <w:r>
        <w:rPr>
          <w:rFonts w:hint="eastAsia" w:ascii="宋体" w:hAnsi="宋体"/>
          <w:b/>
          <w:color w:val="auto"/>
          <w:sz w:val="24"/>
          <w:highlight w:val="none"/>
        </w:rPr>
        <w:t xml:space="preserve">中心</w:t>
      </w:r>
      <w:r/>
    </w:p>
    <w:p>
      <w:pPr>
        <w:pStyle w:val="972"/>
        <w:numPr>
          <w:ilvl w:val="0"/>
          <w:numId w:val="5"/>
        </w:numPr>
        <w:ind w:firstLine="482"/>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b/>
          <w:color w:val="auto"/>
          <w:sz w:val="24"/>
          <w:szCs w:val="24"/>
          <w:highlight w:val="none"/>
        </w:rPr>
        <w:t xml:space="preserve">项目概况：</w:t>
      </w:r>
      <w:r>
        <w:rPr>
          <w:rFonts w:hint="eastAsia" w:cs="Times New Roman" w:asciiTheme="minorEastAsia" w:hAnsiTheme="minorEastAsia"/>
          <w:color w:val="auto"/>
          <w:sz w:val="24"/>
          <w:szCs w:val="24"/>
          <w:highlight w:val="none"/>
        </w:rPr>
        <w:t xml:space="preserve">龙惠综合为老服务中心位于苏州高新区东渚街道龙惠花苑小区内，使用面积约2000平方米，布局设置从健康服务到餐饮休闲到文化娱乐，老人们所需的服务一应俱全。内设接待</w:t>
      </w:r>
      <w:r>
        <w:rPr>
          <w:rFonts w:hint="eastAsia" w:cs="Times New Roman" w:asciiTheme="minorEastAsia" w:hAnsiTheme="minorEastAsia"/>
          <w:color w:val="auto"/>
          <w:sz w:val="24"/>
          <w:szCs w:val="24"/>
          <w:highlight w:val="none"/>
          <w:lang w:eastAsia="zh-CN"/>
        </w:rPr>
        <w:t xml:space="preserve">大厅</w:t>
      </w: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eastAsia="zh-CN"/>
        </w:rPr>
        <w:t xml:space="preserve">适老化展厅、棋牌室、书画室、视听室、多功能活动室、</w:t>
      </w:r>
      <w:r>
        <w:rPr>
          <w:rFonts w:hint="eastAsia" w:cs="Times New Roman" w:asciiTheme="minorEastAsia" w:hAnsiTheme="minorEastAsia"/>
          <w:color w:val="auto"/>
          <w:sz w:val="24"/>
          <w:szCs w:val="24"/>
          <w:highlight w:val="none"/>
        </w:rPr>
        <w:t xml:space="preserve">心理咨询室、</w:t>
      </w:r>
      <w:r>
        <w:rPr>
          <w:rFonts w:hint="eastAsia" w:cs="Times New Roman" w:asciiTheme="minorEastAsia" w:hAnsiTheme="minorEastAsia"/>
          <w:color w:val="auto"/>
          <w:sz w:val="24"/>
          <w:szCs w:val="24"/>
          <w:highlight w:val="none"/>
          <w:lang w:eastAsia="zh-CN"/>
        </w:rPr>
        <w:t xml:space="preserve">家庭医生工作室</w:t>
      </w:r>
      <w:r>
        <w:rPr>
          <w:rFonts w:hint="eastAsia" w:cs="Times New Roman" w:asciiTheme="minorEastAsia" w:hAnsiTheme="minorEastAsia"/>
          <w:color w:val="auto"/>
          <w:sz w:val="24"/>
          <w:szCs w:val="24"/>
          <w:highlight w:val="none"/>
        </w:rPr>
        <w:t xml:space="preserve">、</w:t>
      </w:r>
      <w:r>
        <w:rPr>
          <w:rFonts w:hint="eastAsia" w:cs="Times New Roman" w:asciiTheme="minorEastAsia" w:hAnsiTheme="minorEastAsia"/>
          <w:color w:val="auto"/>
          <w:sz w:val="24"/>
          <w:szCs w:val="24"/>
          <w:highlight w:val="none"/>
          <w:lang w:eastAsia="zh-CN"/>
        </w:rPr>
        <w:t xml:space="preserve">助餐室</w:t>
      </w:r>
      <w:r>
        <w:rPr>
          <w:rFonts w:hint="eastAsia" w:cs="Times New Roman" w:asciiTheme="minorEastAsia" w:hAnsiTheme="minorEastAsia"/>
          <w:color w:val="auto"/>
          <w:sz w:val="24"/>
          <w:szCs w:val="24"/>
          <w:highlight w:val="none"/>
        </w:rPr>
        <w:t xml:space="preserve">、康复</w:t>
      </w:r>
      <w:r>
        <w:rPr>
          <w:rFonts w:hint="eastAsia" w:cs="Times New Roman" w:asciiTheme="minorEastAsia" w:hAnsiTheme="minorEastAsia"/>
          <w:color w:val="auto"/>
          <w:sz w:val="24"/>
          <w:szCs w:val="24"/>
          <w:highlight w:val="none"/>
          <w:lang w:eastAsia="zh-CN"/>
        </w:rPr>
        <w:t xml:space="preserve">辅具租赁室、休憩室、康复</w:t>
      </w:r>
      <w:r>
        <w:rPr>
          <w:rFonts w:hint="eastAsia" w:cs="Times New Roman" w:asciiTheme="minorEastAsia" w:hAnsiTheme="minorEastAsia"/>
          <w:color w:val="auto"/>
          <w:sz w:val="24"/>
          <w:szCs w:val="24"/>
          <w:highlight w:val="none"/>
          <w:lang w:val="en-US" w:eastAsia="zh-CN"/>
        </w:rPr>
        <w:t xml:space="preserve">OT室、日托间等</w:t>
      </w:r>
      <w:r>
        <w:rPr>
          <w:rFonts w:hint="eastAsia" w:cs="Times New Roman" w:asciiTheme="minorEastAsia" w:hAnsiTheme="minorEastAsia"/>
          <w:color w:val="auto"/>
          <w:sz w:val="24"/>
          <w:szCs w:val="24"/>
          <w:highlight w:val="none"/>
        </w:rPr>
        <w:t xml:space="preserve">。其主要功能为</w:t>
      </w:r>
      <w:r>
        <w:rPr>
          <w:rFonts w:hint="eastAsia" w:cs="Times New Roman" w:asciiTheme="minorEastAsia" w:hAnsiTheme="minorEastAsia"/>
          <w:color w:val="auto"/>
          <w:sz w:val="24"/>
          <w:szCs w:val="24"/>
          <w:highlight w:val="none"/>
          <w:lang w:eastAsia="zh-CN"/>
        </w:rPr>
        <w:t xml:space="preserve">居住在</w:t>
      </w:r>
      <w:r>
        <w:rPr>
          <w:rFonts w:hint="eastAsia" w:cs="Times New Roman" w:asciiTheme="minorEastAsia" w:hAnsiTheme="minorEastAsia"/>
          <w:color w:val="auto"/>
          <w:sz w:val="24"/>
          <w:szCs w:val="24"/>
          <w:highlight w:val="none"/>
        </w:rPr>
        <w:t xml:space="preserve">科技城</w:t>
      </w:r>
      <w:r>
        <w:rPr>
          <w:rFonts w:hint="eastAsia" w:cs="Times New Roman" w:asciiTheme="minorEastAsia" w:hAnsiTheme="minorEastAsia"/>
          <w:color w:val="auto"/>
          <w:sz w:val="24"/>
          <w:szCs w:val="24"/>
          <w:highlight w:val="none"/>
          <w:lang w:eastAsia="zh-CN"/>
        </w:rPr>
        <w:t xml:space="preserve">、东渚街道</w:t>
      </w:r>
      <w:r>
        <w:rPr>
          <w:rFonts w:hint="eastAsia" w:cs="Times New Roman" w:asciiTheme="minorEastAsia" w:hAnsiTheme="minorEastAsia"/>
          <w:color w:val="auto"/>
          <w:sz w:val="24"/>
          <w:szCs w:val="24"/>
          <w:highlight w:val="none"/>
        </w:rPr>
        <w:t xml:space="preserve">的老年居民提供日间照料、健康指导、文化娱乐、心理（精神）慰藉、康复护理等专业化日间照料服务。</w:t>
      </w:r>
      <w:r/>
    </w:p>
    <w:p>
      <w:pPr>
        <w:ind w:firstLine="482"/>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rPr>
        <w:t xml:space="preserve">服务经营要求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1.总体要求：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w:t>
      </w:r>
      <w:r>
        <w:rPr>
          <w:rFonts w:hint="eastAsia" w:ascii="宋体" w:hAnsi="宋体" w:cs="宋体"/>
          <w:b w:val="0"/>
          <w:bCs w:val="0"/>
          <w:color w:val="auto"/>
          <w:sz w:val="24"/>
          <w:szCs w:val="24"/>
          <w:highlight w:val="none"/>
          <w:lang w:val="en-US" w:eastAsia="zh-CN"/>
        </w:rPr>
        <w:t xml:space="preserve">综合为老服务中心</w:t>
      </w:r>
      <w:r>
        <w:rPr>
          <w:rFonts w:hint="eastAsia" w:ascii="宋体" w:hAnsi="宋体" w:eastAsia="宋体" w:cs="宋体"/>
          <w:b w:val="0"/>
          <w:bCs w:val="0"/>
          <w:color w:val="auto"/>
          <w:sz w:val="24"/>
          <w:szCs w:val="24"/>
          <w:highlight w:val="none"/>
          <w:lang w:val="en-US"/>
        </w:rPr>
        <w:t xml:space="preserve">应建立工作人员公示制度；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（2）专业技术人员应具有相关专业资质，持有相关部门颁发的专业、执业资格证书；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（3）养老护理员应持有职业培训证书或等级鉴定证书；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（4）工勤人员应持有所从事工种的国家职业资格证书，餐饮人员应持有健康证。</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2.中心人员行为规范应符合下列要求：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（1）尊老敬老，尊重人格、民族、宗教信仰和个人习惯，保护个人隐私，具有良好的职业道德；</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）着装规范，服装整洁，佩戴胸卡上岗；</w:t>
      </w:r>
      <w:r/>
    </w:p>
    <w:p>
      <w:pPr>
        <w:pStyle w:val="666"/>
        <w:ind w:left="0" w:firstLine="480"/>
        <w:rPr>
          <w:rFonts w:hint="eastAsia"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遵纪守法，</w:t>
      </w:r>
      <w:r>
        <w:rPr>
          <w:rFonts w:hint="eastAsia" w:ascii="宋体" w:hAnsi="宋体" w:eastAsia="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rPr>
        <w:t xml:space="preserve">礼貌、热情、亲切、友好；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（4）仪表端庄、精神饱满，佩戴饰品符合行业要求；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（5）语言文明、清晰。</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3.具体要求：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（1）合理配备管理人员及服务人员，</w:t>
      </w:r>
      <w:r>
        <w:rPr>
          <w:rFonts w:hint="eastAsia" w:ascii="宋体" w:hAnsi="宋体" w:cs="宋体"/>
          <w:b w:val="0"/>
          <w:bCs w:val="0"/>
          <w:color w:val="auto"/>
          <w:sz w:val="24"/>
          <w:szCs w:val="24"/>
          <w:highlight w:val="none"/>
          <w:lang w:val="en-US" w:eastAsia="zh-CN"/>
        </w:rPr>
        <w:t xml:space="preserve">项目主管持有社工证且有管理经验，</w:t>
      </w:r>
      <w:r>
        <w:rPr>
          <w:rFonts w:hint="eastAsia" w:ascii="宋体" w:hAnsi="宋体" w:eastAsia="宋体" w:cs="宋体"/>
          <w:b w:val="0"/>
          <w:bCs w:val="0"/>
          <w:color w:val="auto"/>
          <w:sz w:val="24"/>
          <w:szCs w:val="24"/>
          <w:highlight w:val="none"/>
          <w:lang w:val="en-US"/>
        </w:rPr>
        <w:t xml:space="preserve">持证人员达到80%以上（社工证、护士证、护理员证等），确保养老服务项目的正常实施；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（2）制定完善的管理制度和保障机制，建有服务安全和风险规避制度，有员工培训、考勤和奖惩制度，财务管理制度等</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做到管理正规化、服务规范化、</w:t>
      </w:r>
      <w:r>
        <w:rPr>
          <w:rFonts w:hint="eastAsia" w:ascii="宋体" w:hAnsi="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lang w:val="en-US"/>
        </w:rPr>
        <w:t xml:space="preserve">标准化；</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）管理并监督中心人员的日常服务，定期召开内部管理会议，配合政府部门协调社区资源开展服务，定期对中心工作人员进行培训。</w:t>
      </w:r>
      <w:r/>
    </w:p>
    <w:p>
      <w:pPr>
        <w:ind w:firstLine="480"/>
        <w:spacing w:line="360" w:lineRule="auto"/>
        <w:tabs>
          <w:tab w:val="left" w:pos="840" w:leader="none"/>
        </w:tabs>
        <w:rPr>
          <w:rFonts w:hint="eastAsia"/>
          <w:color w:val="auto"/>
          <w:highlight w:val="none"/>
          <w:lang w:val="en-US"/>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每</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汇报</w:t>
      </w:r>
      <w:r>
        <w:rPr>
          <w:rFonts w:hint="eastAsia" w:ascii="宋体" w:hAnsi="宋体" w:cs="宋体"/>
          <w:b w:val="0"/>
          <w:bCs w:val="0"/>
          <w:color w:val="auto"/>
          <w:sz w:val="24"/>
          <w:szCs w:val="24"/>
          <w:highlight w:val="none"/>
          <w:lang w:val="en-US" w:eastAsia="zh-CN"/>
        </w:rPr>
        <w:t xml:space="preserve">本月</w:t>
      </w:r>
      <w:r>
        <w:rPr>
          <w:rFonts w:hint="eastAsia" w:ascii="宋体" w:hAnsi="宋体" w:eastAsia="宋体" w:cs="宋体"/>
          <w:b w:val="0"/>
          <w:bCs w:val="0"/>
          <w:color w:val="auto"/>
          <w:sz w:val="24"/>
          <w:szCs w:val="24"/>
          <w:highlight w:val="none"/>
          <w:lang w:val="en-US"/>
        </w:rPr>
        <w:t xml:space="preserve">服务开展情况及下</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工作计划</w:t>
      </w:r>
      <w:r>
        <w:rPr>
          <w:rFonts w:hint="eastAsia" w:ascii="宋体" w:hAnsi="宋体" w:cs="宋体"/>
          <w:b w:val="0"/>
          <w:bCs w:val="0"/>
          <w:color w:val="auto"/>
          <w:sz w:val="24"/>
          <w:szCs w:val="24"/>
          <w:highlight w:val="none"/>
          <w:lang w:val="en-US" w:eastAsia="zh-CN"/>
        </w:rPr>
        <w:t xml:space="preserve">，形成半年度和年度工作总结</w:t>
      </w:r>
      <w:r>
        <w:rPr>
          <w:rFonts w:hint="eastAsia" w:ascii="宋体" w:hAnsi="宋体" w:eastAsia="宋体" w:cs="宋体"/>
          <w:b w:val="0"/>
          <w:bCs w:val="0"/>
          <w:color w:val="auto"/>
          <w:sz w:val="24"/>
          <w:szCs w:val="24"/>
          <w:highlight w:val="none"/>
          <w:lang w:val="en-US"/>
        </w:rPr>
        <w:t xml:space="preserve">。</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）中心活动（或服务）丰富，每周公示</w:t>
      </w:r>
      <w:r>
        <w:rPr>
          <w:rFonts w:hint="eastAsia" w:ascii="宋体" w:hAnsi="宋体" w:cs="宋体"/>
          <w:b w:val="0"/>
          <w:bCs w:val="0"/>
          <w:color w:val="auto"/>
          <w:sz w:val="24"/>
          <w:szCs w:val="24"/>
          <w:highlight w:val="none"/>
          <w:lang w:val="en-US" w:eastAsia="zh-CN"/>
        </w:rPr>
        <w:t xml:space="preserve">活动服务内容</w:t>
      </w:r>
      <w:r>
        <w:rPr>
          <w:rFonts w:hint="eastAsia" w:ascii="宋体" w:hAnsi="宋体" w:eastAsia="宋体" w:cs="宋体"/>
          <w:b w:val="0"/>
          <w:bCs w:val="0"/>
          <w:color w:val="auto"/>
          <w:sz w:val="24"/>
          <w:szCs w:val="24"/>
          <w:highlight w:val="none"/>
          <w:lang w:val="en-US"/>
        </w:rPr>
        <w:t xml:space="preserve">，活动、课程和服务符合老年人需求，参与度高。</w:t>
      </w:r>
      <w:r/>
    </w:p>
    <w:p>
      <w:pPr>
        <w:ind w:firstLine="480"/>
        <w:spacing w:line="360" w:lineRule="auto"/>
        <w:tabs>
          <w:tab w:val="left" w:pos="840" w:leader="none"/>
        </w:tabs>
        <w:rPr>
          <w:rFonts w:hint="eastAsia" w:cs="Times New Roman" w:asciiTheme="minorEastAsia" w:hAnsiTheme="minorEastAsia"/>
          <w:color w:val="auto"/>
          <w:sz w:val="24"/>
          <w:szCs w:val="24"/>
          <w:highlight w:val="none"/>
          <w:lang w:val="en-US"/>
        </w:rPr>
      </w:pPr>
      <w:r>
        <w:rPr>
          <w:rFonts w:hint="eastAsia" w:ascii="宋体" w:hAnsi="宋体" w:cs="宋体"/>
          <w:b w:val="0"/>
          <w:bCs/>
          <w:color w:val="auto"/>
          <w:sz w:val="24"/>
          <w:szCs w:val="24"/>
          <w:highlight w:val="none"/>
          <w:lang w:val="en-US" w:eastAsia="zh-CN"/>
        </w:rPr>
        <w:t xml:space="preserve">（6）项目打造</w:t>
      </w:r>
      <w:r>
        <w:rPr>
          <w:rFonts w:hint="eastAsia" w:asciiTheme="minorEastAsia" w:hAnsiTheme="minorEastAsia"/>
          <w:b w:val="0"/>
          <w:bCs/>
          <w:color w:val="auto"/>
          <w:sz w:val="24"/>
          <w:szCs w:val="24"/>
          <w:highlight w:val="none"/>
          <w:lang w:val="en-US" w:eastAsia="zh-CN"/>
        </w:rPr>
        <w:t xml:space="preserve">特色服务，为其他日间照料中心提供先进的管理经验，服务理念，发挥引领示范作用。</w:t>
      </w:r>
      <w:r/>
    </w:p>
    <w:p>
      <w:pPr>
        <w:ind w:firstLine="482"/>
        <w:jc w:val="left"/>
        <w:spacing w:line="360" w:lineRule="auto"/>
        <w:rPr>
          <w:rFonts w:hint="eastAsia" w:asciiTheme="minorEastAsia" w:hAnsiTheme="minorEastAsia"/>
          <w:bCs/>
          <w:color w:val="auto"/>
          <w:sz w:val="24"/>
          <w:highlight w:val="none"/>
        </w:rPr>
      </w:pPr>
      <w:r>
        <w:rPr>
          <w:rFonts w:hint="eastAsia" w:cs="楷体" w:asciiTheme="minorEastAsia" w:hAnsiTheme="minorEastAsia"/>
          <w:b/>
          <w:color w:val="auto"/>
          <w:sz w:val="24"/>
          <w:highlight w:val="none"/>
          <w:lang w:eastAsia="zh-CN"/>
        </w:rPr>
        <w:t xml:space="preserve">三、</w:t>
      </w:r>
      <w:r>
        <w:rPr>
          <w:rFonts w:hint="eastAsia" w:cs="楷体" w:asciiTheme="minorEastAsia" w:hAnsiTheme="minorEastAsia"/>
          <w:b/>
          <w:color w:val="auto"/>
          <w:sz w:val="24"/>
          <w:highlight w:val="none"/>
        </w:rPr>
        <w:t xml:space="preserve">服务对象：</w:t>
      </w:r>
      <w:r>
        <w:rPr>
          <w:rFonts w:hint="eastAsia" w:asciiTheme="minorEastAsia" w:hAnsiTheme="minorEastAsia"/>
          <w:bCs/>
          <w:color w:val="auto"/>
          <w:sz w:val="24"/>
          <w:highlight w:val="none"/>
        </w:rPr>
        <w:t xml:space="preserve">为</w:t>
      </w:r>
      <w:r>
        <w:rPr>
          <w:rFonts w:hint="eastAsia" w:asciiTheme="minorEastAsia" w:hAnsiTheme="minorEastAsia"/>
          <w:bCs/>
          <w:color w:val="auto"/>
          <w:sz w:val="24"/>
          <w:highlight w:val="none"/>
          <w:lang w:eastAsia="zh-CN"/>
        </w:rPr>
        <w:t xml:space="preserve">居住在科技城、东渚街道辖区且</w:t>
      </w:r>
      <w:r>
        <w:rPr>
          <w:rFonts w:hint="eastAsia" w:asciiTheme="minorEastAsia" w:hAnsiTheme="minorEastAsia"/>
          <w:bCs/>
          <w:color w:val="auto"/>
          <w:sz w:val="24"/>
          <w:highlight w:val="none"/>
        </w:rPr>
        <w:t xml:space="preserve">年龄满60周岁、生活能基本自理、健康状况良好、无传染性疾病和精神病史的老人提供日间照料服务，重点服务高龄、空巢、独居、轻度失智失能，白天需要有人照料的老年人。</w:t>
      </w:r>
      <w:r/>
    </w:p>
    <w:p>
      <w:pPr>
        <w:numPr>
          <w:ilvl w:val="-1"/>
          <w:numId w:val="0"/>
        </w:numPr>
        <w:ind w:firstLine="48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四、</w:t>
      </w:r>
      <w:r>
        <w:rPr>
          <w:rFonts w:hint="eastAsia" w:asciiTheme="minorEastAsia" w:hAnsiTheme="minorEastAsia"/>
          <w:b/>
          <w:color w:val="auto"/>
          <w:sz w:val="24"/>
          <w:szCs w:val="24"/>
          <w:highlight w:val="none"/>
          <w:lang w:val="en-US"/>
        </w:rPr>
        <w:t xml:space="preserve">项目清单：</w:t>
      </w:r>
      <w:r/>
    </w:p>
    <w:tbl>
      <w:tblPr>
        <w:tblStyle w:val="665"/>
        <w:tblpPr w:horzAnchor="page" w:tblpX="1425" w:vertAnchor="text" w:tblpY="1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0"/>
        <w:gridCol w:w="1290"/>
        <w:gridCol w:w="1194"/>
        <w:gridCol w:w="1102"/>
        <w:gridCol w:w="1378"/>
        <w:gridCol w:w="3111"/>
      </w:tblGrid>
      <w:tr>
        <w:trPr>
          <w:trHeight w:val="765"/>
        </w:trPr>
        <w:tc>
          <w:tcPr>
            <w:shd w:val="clear" w:color="auto" w:fill="auto"/>
            <w:tcW w:w="11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科目名称</w:t>
            </w:r>
            <w:r/>
          </w:p>
        </w:tc>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分项内容</w:t>
            </w:r>
            <w:r/>
          </w:p>
        </w:tc>
        <w:tc>
          <w:tcPr>
            <w:shd w:val="clear" w:color="auto" w:fill="auto"/>
            <w:tcW w:w="11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W w:w="110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每月单价（元）</w:t>
            </w:r>
            <w:r/>
          </w:p>
        </w:tc>
        <w:tc>
          <w:tcPr>
            <w:shd w:val="clear" w:color="auto" w:fill="auto"/>
            <w:tcW w:w="13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2年预算总价（元）</w:t>
            </w:r>
            <w:r/>
          </w:p>
        </w:tc>
        <w:tc>
          <w:tcPr>
            <w:shd w:val="clear" w:color="auto" w:fill="auto"/>
            <w:tcW w:w="311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90"/>
        </w:trPr>
        <w:tc>
          <w:tcPr>
            <w:shd w:val="clear" w:color="auto" w:fill="auto"/>
            <w:tcW w:w="11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龙惠综合为老服务中心</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W w:w="12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人力经费</w:t>
            </w:r>
            <w:r/>
          </w:p>
        </w:tc>
        <w:tc>
          <w:tcPr>
            <w:shd w:val="clear" w:color="auto" w:fill="auto"/>
            <w:tcW w:w="119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人</w:t>
            </w:r>
            <w:r/>
          </w:p>
        </w:tc>
        <w:tc>
          <w:tcPr>
            <w:shd w:val="clear" w:color="auto" w:fill="auto"/>
            <w:tcW w:w="11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textDirection w:val="lrTb"/>
            <w:noWrap w:val="false"/>
          </w:tcPr>
          <w:p>
            <w:pPr>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主管1名，护士1名，工作人员3名</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因站点设有医养结合的部分，所以需要独立的护士</w:t>
            </w:r>
            <w:r/>
          </w:p>
        </w:tc>
      </w:tr>
      <w:tr>
        <w:trPr>
          <w:trHeight w:val="460"/>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活动经费</w:t>
            </w:r>
            <w:r/>
          </w:p>
        </w:tc>
        <w:tc>
          <w:tcPr>
            <w:shd w:val="clear" w:color="auto" w:fill="auto"/>
            <w:tcW w:w="1194"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192</w:t>
            </w:r>
            <w:r/>
          </w:p>
        </w:tc>
        <w:tc>
          <w:tcPr>
            <w:shd w:val="clear" w:color="auto" w:fill="auto"/>
            <w:tcW w:w="1102"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详见活动清单</w:t>
            </w:r>
            <w:r/>
          </w:p>
        </w:tc>
      </w:tr>
      <w:tr>
        <w:trPr>
          <w:trHeight w:val="600"/>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管理经费</w:t>
            </w:r>
            <w:r/>
          </w:p>
        </w:tc>
        <w:tc>
          <w:tcPr>
            <w:shd w:val="clear" w:color="auto" w:fill="auto"/>
            <w:tcW w:w="119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2年</w:t>
            </w:r>
            <w:r/>
          </w:p>
        </w:tc>
        <w:tc>
          <w:tcPr>
            <w:shd w:val="clear" w:color="auto" w:fill="auto"/>
            <w:tcW w:w="1102"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W w:w="13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1、通信、网络、电视等费用（日照日常老人联络、订餐确认、活动通知、节日慰问、入户预约相关工作等）                     2、清洁费用及耗材（口罩，消毒液，垃圾袋等）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3、报刊杂志费，5至6种报纸及杂志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w:t>
            </w:r>
            <w:r>
              <w:rPr>
                <w:rFonts w:hint="eastAsia" w:ascii="宋体" w:hAnsi="宋体" w:cs="宋体"/>
                <w:i w:val="0"/>
                <w:iCs w:val="0"/>
                <w:color w:val="auto"/>
                <w:sz w:val="22"/>
                <w:szCs w:val="22"/>
                <w:highlight w:val="none"/>
                <w:u w:val="none"/>
                <w:lang w:val="en-US" w:eastAsia="zh-CN" w:bidi="ar"/>
              </w:rPr>
              <w:t xml:space="preserve">各类厨具</w:t>
            </w:r>
            <w:r>
              <w:rPr>
                <w:rFonts w:hint="eastAsia" w:ascii="宋体" w:hAnsi="宋体" w:eastAsia="宋体" w:cs="宋体"/>
                <w:i w:val="0"/>
                <w:iCs w:val="0"/>
                <w:color w:val="auto"/>
                <w:sz w:val="22"/>
                <w:szCs w:val="22"/>
                <w:highlight w:val="none"/>
                <w:u w:val="none"/>
                <w:lang w:val="en-US" w:eastAsia="zh-CN" w:bidi="ar"/>
              </w:rPr>
              <w:t xml:space="preserve">、电器、</w:t>
            </w:r>
            <w:r>
              <w:rPr>
                <w:rFonts w:hint="eastAsia" w:ascii="宋体" w:hAnsi="宋体" w:cs="宋体"/>
                <w:i w:val="0"/>
                <w:iCs w:val="0"/>
                <w:color w:val="auto"/>
                <w:sz w:val="22"/>
                <w:szCs w:val="22"/>
                <w:highlight w:val="none"/>
                <w:u w:val="none"/>
                <w:lang w:val="en-US" w:eastAsia="zh-CN" w:bidi="ar"/>
              </w:rPr>
              <w:t xml:space="preserve">康复设施、家具等设施设备的维护维修。</w:t>
            </w:r>
            <w:r>
              <w:rPr>
                <w:rFonts w:hint="eastAsia" w:ascii="宋体" w:hAnsi="宋体" w:eastAsia="宋体" w:cs="宋体"/>
                <w:i w:val="0"/>
                <w:iCs w:val="0"/>
                <w:color w:val="auto"/>
                <w:sz w:val="22"/>
                <w:szCs w:val="22"/>
                <w:highlight w:val="none"/>
                <w:u w:val="none"/>
                <w:lang w:val="en-US" w:eastAsia="zh-CN" w:bidi="ar"/>
              </w:rPr>
              <w:t xml:space="preserve">                        5、管理费（场地险、日常办公</w:t>
            </w:r>
            <w:r>
              <w:rPr>
                <w:rFonts w:hint="eastAsia" w:ascii="宋体" w:hAnsi="宋体" w:cs="宋体"/>
                <w:i w:val="0"/>
                <w:iCs w:val="0"/>
                <w:color w:val="auto"/>
                <w:sz w:val="22"/>
                <w:szCs w:val="22"/>
                <w:highlight w:val="none"/>
                <w:u w:val="none"/>
                <w:lang w:val="en-US" w:eastAsia="zh-CN" w:bidi="ar"/>
              </w:rPr>
              <w:t xml:space="preserve">耗材</w:t>
            </w:r>
            <w:r>
              <w:rPr>
                <w:rFonts w:hint="eastAsia" w:ascii="宋体" w:hAnsi="宋体" w:eastAsia="宋体" w:cs="宋体"/>
                <w:i w:val="0"/>
                <w:iCs w:val="0"/>
                <w:color w:val="auto"/>
                <w:sz w:val="22"/>
                <w:szCs w:val="22"/>
                <w:highlight w:val="none"/>
                <w:u w:val="none"/>
                <w:lang w:val="en-US" w:eastAsia="zh-CN" w:bidi="ar"/>
              </w:rPr>
              <w:t xml:space="preserve">、税费等）</w:t>
            </w:r>
            <w:r/>
          </w:p>
        </w:tc>
      </w:tr>
      <w:tr>
        <w:trPr>
          <w:trHeight w:val="660"/>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0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60"/>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0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12"/>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0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vMerge w:val="continue"/>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12"/>
        </w:trPr>
        <w:tc>
          <w:tcPr>
            <w:shd w:val="clear" w:color="auto" w:fill="auto"/>
            <w:tcW w:w="115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29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94"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10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1378" w:type="dxa"/>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3111"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2"/>
        </w:trPr>
        <w:tc>
          <w:tcPr>
            <w:gridSpan w:val="4"/>
            <w:shd w:val="clear" w:color="auto" w:fill="ffffff" w:themeFill="background1"/>
            <w:tcW w:w="47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小</w:t>
            </w:r>
            <w:r>
              <w:rPr>
                <w:rFonts w:hint="eastAsia" w:ascii="宋体" w:hAnsi="宋体" w:eastAsia="宋体" w:cs="宋体"/>
                <w:i w:val="0"/>
                <w:iCs w:val="0"/>
                <w:color w:val="auto"/>
                <w:sz w:val="24"/>
                <w:szCs w:val="24"/>
                <w:highlight w:val="none"/>
                <w:u w:val="none"/>
                <w:lang w:val="en-US" w:eastAsia="zh-CN" w:bidi="ar"/>
              </w:rPr>
              <w:t xml:space="preserve">计</w:t>
            </w:r>
            <w:r/>
          </w:p>
        </w:tc>
        <w:tc>
          <w:tcPr>
            <w:shd w:val="clear" w:color="auto" w:fill="ffffff" w:themeFill="background1"/>
            <w:tcW w:w="1378"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3111"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972"/>
        <w:ind w:left="0" w:firstLine="0"/>
        <w:jc w:val="left"/>
        <w:spacing w:line="360" w:lineRule="auto"/>
        <w:rPr>
          <w:rFonts w:hint="eastAsia"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活动明细清单：</w:t>
      </w:r>
      <w:r/>
    </w:p>
    <w:tbl>
      <w:tblPr>
        <w:tblStyle w:val="665"/>
        <w:tblW w:w="53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0"/>
        <w:gridCol w:w="1602"/>
        <w:gridCol w:w="764"/>
        <w:gridCol w:w="847"/>
        <w:gridCol w:w="897"/>
        <w:gridCol w:w="1138"/>
        <w:gridCol w:w="3997"/>
      </w:tblGrid>
      <w:tr>
        <w:trPr>
          <w:jc w:val="center"/>
          <w:trHeight w:val="440"/>
        </w:trPr>
        <w:tc>
          <w:tcPr>
            <w:shd w:val="clear" w:color="auto" w:fill="auto"/>
            <w:tcW w:w="42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日间照料名称</w:t>
            </w:r>
            <w:r/>
          </w:p>
        </w:tc>
        <w:tc>
          <w:tcPr>
            <w:shd w:val="clear" w:color="auto" w:fill="auto"/>
            <w:tcW w:w="79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活动明细</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场次</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w:t>
            </w:r>
            <w:r/>
          </w:p>
        </w:tc>
        <w:tc>
          <w:tcPr>
            <w:shd w:val="clear" w:color="auto" w:fill="auto"/>
            <w:tcW w:w="1977"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440"/>
        </w:trPr>
        <w:tc>
          <w:tcPr>
            <w:shd w:val="clear" w:color="auto" w:fill="auto"/>
            <w:tcW w:w="425"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79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次/年</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（元/场）</w:t>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W w:w="1977"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jc w:val="center"/>
          <w:trHeight w:val="1100"/>
        </w:trPr>
        <w:tc>
          <w:tcPr>
            <w:shd w:val="clear" w:color="auto" w:fill="auto"/>
            <w:tcW w:w="425" w:type="pct"/>
            <w:vAlign w:val="bottom"/>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龙惠综合为老服务中心（202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主题活动    （节日娱乐类）</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结合传统节日等开展</w:t>
            </w:r>
            <w:r>
              <w:rPr>
                <w:rFonts w:hint="eastAsia" w:ascii="宋体" w:hAnsi="宋体" w:eastAsia="宋体" w:cs="宋体"/>
                <w:i w:val="0"/>
                <w:iCs w:val="0"/>
                <w:color w:val="auto"/>
                <w:sz w:val="22"/>
                <w:szCs w:val="22"/>
                <w:highlight w:val="none"/>
                <w:u w:val="none"/>
                <w:lang w:val="en-US" w:eastAsia="zh-CN" w:bidi="ar"/>
              </w:rPr>
              <w:t xml:space="preserve">主题活动，</w:t>
            </w:r>
            <w:r>
              <w:rPr>
                <w:rFonts w:hint="eastAsia" w:ascii="宋体" w:hAnsi="宋体" w:cs="宋体"/>
                <w:i w:val="0"/>
                <w:iCs w:val="0"/>
                <w:color w:val="auto"/>
                <w:sz w:val="22"/>
                <w:szCs w:val="22"/>
                <w:highlight w:val="none"/>
                <w:u w:val="none"/>
                <w:lang w:val="en-US" w:eastAsia="zh-CN" w:bidi="ar"/>
              </w:rPr>
              <w:t xml:space="preserve">每月开展一次主题活动。</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专题讲座</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开展技能培训、健康养生、智能机运营技术</w:t>
            </w:r>
            <w:r>
              <w:rPr>
                <w:rFonts w:hint="eastAsia" w:ascii="宋体" w:hAnsi="宋体" w:cs="宋体"/>
                <w:i w:val="0"/>
                <w:iCs w:val="0"/>
                <w:color w:val="auto"/>
                <w:sz w:val="22"/>
                <w:szCs w:val="22"/>
                <w:highlight w:val="none"/>
                <w:u w:val="none"/>
                <w:lang w:val="en-US" w:eastAsia="zh-CN" w:bidi="ar"/>
              </w:rPr>
              <w:t xml:space="preserve">、认知障碍家庭照料等</w:t>
            </w:r>
            <w:r>
              <w:rPr>
                <w:rFonts w:hint="eastAsia" w:ascii="宋体" w:hAnsi="宋体" w:eastAsia="宋体" w:cs="宋体"/>
                <w:i w:val="0"/>
                <w:iCs w:val="0"/>
                <w:color w:val="auto"/>
                <w:sz w:val="22"/>
                <w:szCs w:val="22"/>
                <w:highlight w:val="none"/>
                <w:u w:val="none"/>
                <w:lang w:val="en-US" w:eastAsia="zh-CN" w:bidi="ar"/>
              </w:rPr>
              <w:t xml:space="preserve">讲座等</w:t>
            </w:r>
            <w:r>
              <w:rPr>
                <w:rFonts w:hint="eastAsia" w:ascii="宋体" w:hAnsi="宋体" w:cs="宋体"/>
                <w:i w:val="0"/>
                <w:iCs w:val="0"/>
                <w:color w:val="auto"/>
                <w:sz w:val="22"/>
                <w:szCs w:val="22"/>
                <w:highlight w:val="none"/>
                <w:u w:val="none"/>
                <w:lang w:val="en-US" w:eastAsia="zh-CN" w:bidi="ar"/>
              </w:rPr>
              <w:t xml:space="preserve">讲座，每月开展一次专题讲座。</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兴趣小组     （培育及活动）</w:t>
            </w:r>
            <w:r/>
          </w:p>
        </w:tc>
        <w:tc>
          <w:tcPr>
            <w:shd w:val="clear" w:color="auto" w:fill="auto"/>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36</w:t>
            </w:r>
            <w:r/>
          </w:p>
        </w:tc>
        <w:tc>
          <w:tcPr>
            <w:shd w:val="clear" w:color="auto" w:fill="auto"/>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72</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3</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，全年开展兴趣小组类别活动不少于</w:t>
            </w:r>
            <w:r>
              <w:rPr>
                <w:rFonts w:hint="eastAsia" w:ascii="宋体" w:hAnsi="宋体" w:eastAsia="宋体" w:cs="宋体"/>
                <w:i w:val="0"/>
                <w:iCs w:val="0"/>
                <w:color w:val="auto"/>
                <w:sz w:val="22"/>
                <w:szCs w:val="22"/>
                <w:highlight w:val="none"/>
                <w:u w:val="none"/>
                <w:lang w:val="en-US" w:eastAsia="zh-CN" w:bidi="ar"/>
              </w:rPr>
              <w:t xml:space="preserve">5种</w:t>
            </w:r>
            <w:r>
              <w:rPr>
                <w:rFonts w:hint="eastAsia" w:ascii="宋体" w:hAnsi="宋体" w:cs="宋体"/>
                <w:i w:val="0"/>
                <w:iCs w:val="0"/>
                <w:color w:val="auto"/>
                <w:sz w:val="22"/>
                <w:szCs w:val="22"/>
                <w:highlight w:val="none"/>
                <w:u w:val="none"/>
                <w:lang w:val="en-US" w:eastAsia="zh-CN" w:bidi="ar"/>
              </w:rPr>
              <w:t xml:space="preserve">。</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志愿者团队   （培育及活动）</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组建不少于15人的志愿者服务队伍</w:t>
            </w:r>
            <w:r>
              <w:rPr>
                <w:rFonts w:hint="eastAsia" w:ascii="宋体" w:hAnsi="宋体" w:cs="宋体"/>
                <w:i w:val="0"/>
                <w:iCs w:val="0"/>
                <w:color w:val="auto"/>
                <w:sz w:val="22"/>
                <w:szCs w:val="22"/>
                <w:highlight w:val="none"/>
                <w:u w:val="none"/>
                <w:lang w:val="en-US" w:eastAsia="zh-CN" w:bidi="ar"/>
              </w:rPr>
              <w:t xml:space="preserve">，开展空巢独居、困难老年慰问，每月开展一次志愿者团队活动。</w:t>
            </w:r>
            <w:r>
              <w:rPr>
                <w:rFonts w:hint="eastAsia" w:ascii="宋体" w:hAnsi="宋体" w:eastAsia="宋体" w:cs="宋体"/>
                <w:i w:val="0"/>
                <w:iCs w:val="0"/>
                <w:color w:val="auto"/>
                <w:sz w:val="22"/>
                <w:szCs w:val="22"/>
                <w:highlight w:val="none"/>
                <w:u w:val="none"/>
                <w:lang w:val="en-US" w:eastAsia="zh-CN" w:bidi="ar"/>
              </w:rPr>
              <w:t xml:space="preserve"> </w:t>
            </w:r>
            <w:r/>
          </w:p>
        </w:tc>
      </w:tr>
      <w:tr>
        <w:trPr>
          <w:jc w:val="center"/>
          <w:trHeight w:val="192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健康管理活动</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numPr>
                <w:ilvl w:val="0"/>
                <w:numId w:val="6"/>
              </w:numPr>
              <w:jc w:val="left"/>
              <w:keepLines w:val="0"/>
              <w:keepNext w:val="0"/>
              <w:widowControl/>
              <w:rPr>
                <w:rFonts w:hint="eastAsia"/>
                <w:color w:val="auto"/>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引入专业力量开展拔罐、针灸、推拿等中医特色康复理疗服务；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与医疗机构合作，开展基础医疗、护理服务；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开展量血压、测血糖等基本医疗卫生服务，专业人士指导老人进行适宜运动</w:t>
            </w:r>
            <w:r>
              <w:rPr>
                <w:rFonts w:hint="eastAsia" w:ascii="宋体" w:hAnsi="宋体" w:cs="宋体"/>
                <w:i w:val="0"/>
                <w:iCs w:val="0"/>
                <w:color w:val="auto"/>
                <w:sz w:val="22"/>
                <w:szCs w:val="22"/>
                <w:highlight w:val="none"/>
                <w:u w:val="none"/>
                <w:lang w:val="en-US" w:eastAsia="zh-CN" w:bidi="ar"/>
              </w:rPr>
              <w:t xml:space="preserve">、膳食营养。</w:t>
            </w:r>
            <w:r/>
          </w:p>
          <w:p>
            <w:pPr>
              <w:numPr>
                <w:ilvl w:val="0"/>
                <w:numId w:val="0"/>
              </w:numPr>
              <w:jc w:val="left"/>
              <w:keepLines w:val="0"/>
              <w:keepNext w:val="0"/>
              <w:widowControl/>
              <w:rPr>
                <w:rFonts w:hint="eastAsia"/>
                <w:color w:val="auto"/>
                <w:highlight w:val="none"/>
              </w:rPr>
              <w:suppressLineNumbers w:val="0"/>
            </w:pPr>
            <w:r>
              <w:rPr>
                <w:rFonts w:hint="eastAsia" w:ascii="宋体" w:hAnsi="宋体" w:cs="宋体"/>
                <w:i w:val="0"/>
                <w:iCs w:val="0"/>
                <w:color w:val="auto"/>
                <w:sz w:val="22"/>
                <w:szCs w:val="22"/>
                <w:highlight w:val="none"/>
                <w:u w:val="none"/>
                <w:lang w:val="en-US" w:eastAsia="zh-CN" w:bidi="ar"/>
              </w:rPr>
              <w:t xml:space="preserve">每月开展一次健康管理活动。</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心理慰藉</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提供包括但不限于情绪疏导、心理咨询、危机干预</w:t>
            </w:r>
            <w:r>
              <w:rPr>
                <w:rFonts w:hint="eastAsia" w:ascii="宋体" w:hAnsi="宋体" w:cs="宋体"/>
                <w:i w:val="0"/>
                <w:iCs w:val="0"/>
                <w:color w:val="auto"/>
                <w:sz w:val="22"/>
                <w:szCs w:val="22"/>
                <w:highlight w:val="none"/>
                <w:u w:val="none"/>
                <w:lang w:val="en-US" w:eastAsia="zh-CN" w:bidi="ar"/>
              </w:rPr>
              <w:t xml:space="preserve">、心理赋能</w:t>
            </w:r>
            <w:r>
              <w:rPr>
                <w:rFonts w:hint="eastAsia" w:ascii="宋体" w:hAnsi="宋体" w:eastAsia="宋体" w:cs="宋体"/>
                <w:i w:val="0"/>
                <w:iCs w:val="0"/>
                <w:color w:val="auto"/>
                <w:sz w:val="22"/>
                <w:szCs w:val="22"/>
                <w:highlight w:val="none"/>
                <w:u w:val="none"/>
                <w:lang w:val="en-US" w:eastAsia="zh-CN" w:bidi="ar"/>
              </w:rPr>
              <w:t xml:space="preserve">等心理服务</w:t>
            </w:r>
            <w:r>
              <w:rPr>
                <w:rFonts w:hint="eastAsia" w:ascii="宋体" w:hAnsi="宋体" w:cs="宋体"/>
                <w:i w:val="0"/>
                <w:iCs w:val="0"/>
                <w:color w:val="auto"/>
                <w:sz w:val="22"/>
                <w:szCs w:val="22"/>
                <w:highlight w:val="none"/>
                <w:u w:val="none"/>
                <w:lang w:val="en-US" w:eastAsia="zh-CN" w:bidi="ar"/>
              </w:rPr>
              <w:t xml:space="preserve">，每两月开展一次。</w:t>
            </w:r>
            <w:r/>
          </w:p>
        </w:tc>
      </w:tr>
      <w:tr>
        <w:trPr>
          <w:jc w:val="center"/>
          <w:trHeight w:val="1100"/>
        </w:trPr>
        <w:tc>
          <w:tcPr>
            <w:shd w:val="clear" w:color="auto" w:fill="auto"/>
            <w:tcW w:w="42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79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便民</w:t>
            </w:r>
            <w:r>
              <w:rPr>
                <w:rFonts w:hint="eastAsia" w:ascii="宋体" w:hAnsi="宋体" w:eastAsia="宋体" w:cs="宋体"/>
                <w:i w:val="0"/>
                <w:iCs w:val="0"/>
                <w:color w:val="auto"/>
                <w:sz w:val="24"/>
                <w:szCs w:val="24"/>
                <w:highlight w:val="none"/>
                <w:u w:val="none"/>
                <w:lang w:val="en-US" w:eastAsia="zh-CN" w:bidi="ar"/>
              </w:rPr>
              <w:t xml:space="preserve">咨询</w:t>
            </w:r>
            <w:r/>
          </w:p>
        </w:tc>
        <w:tc>
          <w:tcPr>
            <w:shd w:val="clear" w:color="auto" w:fill="auto"/>
            <w:tcW w:w="37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4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Theme="minorEastAsia" w:hAnsiTheme="minorEastAsia" w:eastAsiaTheme="minorEastAsia" w:cstheme="minorEastAsia"/>
                <w:color w:val="auto"/>
                <w:sz w:val="22"/>
                <w:highlight w:val="none"/>
                <w:lang w:bidi="ar"/>
              </w:rPr>
              <w:t xml:space="preserve">理发、修理小家电、健康咨询、法律咨询等</w:t>
            </w:r>
            <w:r>
              <w:rPr>
                <w:rFonts w:hint="eastAsia" w:asciiTheme="minorEastAsia" w:hAnsiTheme="minorEastAsia" w:eastAsiaTheme="minorEastAsia" w:cstheme="minorEastAsia"/>
                <w:color w:val="auto"/>
                <w:sz w:val="22"/>
                <w:highlight w:val="none"/>
                <w:lang w:eastAsia="zh-CN" w:bidi="ar"/>
              </w:rPr>
              <w:t xml:space="preserve">，每两月开展一次</w:t>
            </w:r>
            <w:r>
              <w:rPr>
                <w:rFonts w:hint="eastAsia" w:asciiTheme="minorEastAsia" w:hAnsiTheme="minorEastAsia" w:eastAsiaTheme="minorEastAsia" w:cstheme="minorEastAsia"/>
                <w:color w:val="auto"/>
                <w:sz w:val="22"/>
                <w:highlight w:val="none"/>
                <w:lang w:bidi="ar"/>
              </w:rPr>
              <w:t xml:space="preserve">。</w:t>
            </w:r>
            <w:r/>
          </w:p>
        </w:tc>
      </w:tr>
      <w:tr>
        <w:trPr>
          <w:jc w:val="center"/>
          <w:trHeight w:val="484"/>
        </w:trPr>
        <w:tc>
          <w:tcPr>
            <w:gridSpan w:val="2"/>
            <w:shd w:val="clear" w:color="auto" w:fill="auto"/>
            <w:tcW w:w="121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W w:w="377"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96</w:t>
            </w:r>
            <w:r/>
          </w:p>
        </w:tc>
        <w:tc>
          <w:tcPr>
            <w:shd w:val="clear" w:color="auto" w:fill="auto"/>
            <w:tcW w:w="419"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cs="宋体"/>
                <w:i w:val="0"/>
                <w:iCs w:val="0"/>
                <w:color w:val="auto"/>
                <w:sz w:val="24"/>
                <w:szCs w:val="24"/>
                <w:highlight w:val="none"/>
                <w:u w:val="none"/>
                <w:lang w:val="en-US" w:eastAsia="zh-CN"/>
              </w:rPr>
              <w:t xml:space="preserve">192</w:t>
            </w:r>
            <w:r/>
          </w:p>
        </w:tc>
        <w:tc>
          <w:tcPr>
            <w:shd w:val="clear" w:color="auto" w:fill="auto"/>
            <w:tcW w:w="443"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563"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977"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2"/>
        <w:spacing w:line="480" w:lineRule="auto"/>
        <w:rPr>
          <w:rFonts w:cs="仿宋" w:asciiTheme="minorEastAsia" w:hAnsiTheme="minorEastAsia"/>
          <w:b/>
          <w:color w:val="auto"/>
          <w:sz w:val="24"/>
          <w:highlight w:val="none"/>
        </w:rPr>
      </w:pPr>
      <w:r>
        <w:rPr>
          <w:rFonts w:hint="eastAsia" w:cs="仿宋" w:asciiTheme="minorEastAsia" w:hAnsiTheme="minorEastAsia"/>
          <w:b/>
          <w:color w:val="auto"/>
          <w:sz w:val="24"/>
          <w:highlight w:val="none"/>
        </w:rPr>
        <w:t xml:space="preserve">第二标段：</w:t>
      </w:r>
      <w:r>
        <w:rPr>
          <w:rFonts w:hint="eastAsia" w:cs="仿宋" w:asciiTheme="minorEastAsia" w:hAnsiTheme="minorEastAsia"/>
          <w:b/>
          <w:bCs/>
          <w:color w:val="auto"/>
          <w:sz w:val="24"/>
          <w:highlight w:val="none"/>
        </w:rPr>
        <w:t xml:space="preserve">龙景南区日间照料中心</w:t>
      </w:r>
      <w:r>
        <w:rPr>
          <w:rFonts w:hint="eastAsia" w:cs="仿宋" w:asciiTheme="minorEastAsia" w:hAnsiTheme="minorEastAsia"/>
          <w:b/>
          <w:bCs/>
          <w:color w:val="auto"/>
          <w:sz w:val="24"/>
          <w:highlight w:val="none"/>
          <w:lang w:eastAsia="zh-CN"/>
        </w:rPr>
        <w:t xml:space="preserve">、</w:t>
      </w:r>
      <w:r>
        <w:rPr>
          <w:rFonts w:hint="eastAsia" w:cs="仿宋" w:asciiTheme="minorEastAsia" w:hAnsiTheme="minorEastAsia"/>
          <w:b/>
          <w:bCs/>
          <w:color w:val="auto"/>
          <w:sz w:val="24"/>
          <w:highlight w:val="none"/>
        </w:rPr>
        <w:t xml:space="preserve">龙景七区日间照料中心</w:t>
      </w:r>
      <w:r/>
    </w:p>
    <w:p>
      <w:pPr>
        <w:ind w:firstLine="482"/>
        <w:spacing w:line="360" w:lineRule="auto"/>
        <w:rPr>
          <w:rFonts w:hint="eastAsia" w:cs="仿宋" w:asciiTheme="minorEastAsia" w:hAnsiTheme="minorEastAsia"/>
          <w:color w:val="auto"/>
          <w:sz w:val="24"/>
          <w:highlight w:val="none"/>
        </w:rPr>
      </w:pPr>
      <w:r>
        <w:rPr>
          <w:rFonts w:hint="eastAsia" w:cs="宋体" w:asciiTheme="minorEastAsia" w:hAnsiTheme="minorEastAsia"/>
          <w:b/>
          <w:color w:val="auto"/>
          <w:sz w:val="24"/>
          <w:highlight w:val="none"/>
          <w:lang w:eastAsia="zh-CN"/>
        </w:rPr>
        <w:t xml:space="preserve">一、</w:t>
      </w:r>
      <w:r>
        <w:rPr>
          <w:rFonts w:hint="eastAsia" w:cs="宋体" w:asciiTheme="minorEastAsia" w:hAnsiTheme="minorEastAsia"/>
          <w:b/>
          <w:color w:val="auto"/>
          <w:sz w:val="24"/>
          <w:highlight w:val="none"/>
        </w:rPr>
        <w:t xml:space="preserve">项目概述：</w:t>
      </w:r>
      <w:r>
        <w:rPr>
          <w:rFonts w:hint="eastAsia" w:cs="仿宋" w:asciiTheme="minorEastAsia" w:hAnsiTheme="minorEastAsia"/>
          <w:color w:val="auto"/>
          <w:sz w:val="24"/>
          <w:highlight w:val="none"/>
        </w:rPr>
        <w:t xml:space="preserve">龙景南区日间照料中心位于苏州高新区东渚街道龙景花苑五区南面，面积约500平方米，内设门厅、休息室、心理咨询室、助餐厅、康复室、棋牌室、阅览室、多功能室等，内部设施设备已基本配齐。为</w:t>
      </w:r>
      <w:r>
        <w:rPr>
          <w:rFonts w:hint="eastAsia" w:cs="仿宋" w:asciiTheme="minorEastAsia" w:hAnsiTheme="minorEastAsia"/>
          <w:color w:val="auto"/>
          <w:sz w:val="24"/>
          <w:highlight w:val="none"/>
          <w:lang w:eastAsia="zh-CN"/>
        </w:rPr>
        <w:t xml:space="preserve">居住在</w:t>
      </w:r>
      <w:r>
        <w:rPr>
          <w:rFonts w:hint="eastAsia" w:cs="Times New Roman" w:asciiTheme="minorEastAsia" w:hAnsiTheme="minorEastAsia"/>
          <w:color w:val="auto"/>
          <w:sz w:val="24"/>
          <w:szCs w:val="24"/>
          <w:highlight w:val="none"/>
        </w:rPr>
        <w:t xml:space="preserve">科技城</w:t>
      </w:r>
      <w:r>
        <w:rPr>
          <w:rFonts w:hint="eastAsia" w:cs="Times New Roman" w:asciiTheme="minorEastAsia" w:hAnsiTheme="minorEastAsia"/>
          <w:color w:val="auto"/>
          <w:sz w:val="24"/>
          <w:szCs w:val="24"/>
          <w:highlight w:val="none"/>
          <w:lang w:eastAsia="zh-CN"/>
        </w:rPr>
        <w:t xml:space="preserve">、</w:t>
      </w:r>
      <w:r>
        <w:rPr>
          <w:rFonts w:hint="eastAsia" w:cs="Times New Roman" w:asciiTheme="minorEastAsia" w:hAnsiTheme="minorEastAsia"/>
          <w:color w:val="auto"/>
          <w:sz w:val="24"/>
          <w:szCs w:val="24"/>
          <w:highlight w:val="none"/>
        </w:rPr>
        <w:t xml:space="preserve">东渚街道</w:t>
      </w:r>
      <w:r>
        <w:rPr>
          <w:rFonts w:hint="eastAsia" w:cs="Times New Roman" w:asciiTheme="minorEastAsia" w:hAnsiTheme="minorEastAsia"/>
          <w:color w:val="auto"/>
          <w:sz w:val="24"/>
          <w:szCs w:val="24"/>
          <w:highlight w:val="none"/>
          <w:lang w:eastAsia="zh-CN"/>
        </w:rPr>
        <w:t xml:space="preserve">辖区的老年居民</w:t>
      </w:r>
      <w:r>
        <w:rPr>
          <w:rFonts w:hint="eastAsia" w:cs="仿宋" w:asciiTheme="minorEastAsia" w:hAnsiTheme="minorEastAsia"/>
          <w:color w:val="auto"/>
          <w:sz w:val="24"/>
          <w:highlight w:val="none"/>
        </w:rPr>
        <w:t xml:space="preserve">提供日间照料、助餐、健康指导、文化娱乐、心理（精神）慰藉、康复指导等服务，满足社区长者精致化的养老需求，提供专业化服务。</w:t>
      </w:r>
      <w:r/>
    </w:p>
    <w:p>
      <w:pPr>
        <w:ind w:firstLine="480"/>
        <w:spacing w:line="360" w:lineRule="auto"/>
        <w:rPr>
          <w:rFonts w:hint="eastAsia" w:cs="仿宋" w:asciiTheme="minorEastAsia" w:hAnsiTheme="minorEastAsia"/>
          <w:color w:val="auto"/>
          <w:sz w:val="24"/>
          <w:highlight w:val="none"/>
        </w:rPr>
      </w:pPr>
      <w:r>
        <w:rPr>
          <w:rFonts w:hint="eastAsia" w:cs="仿宋" w:asciiTheme="minorEastAsia" w:hAnsiTheme="minorEastAsia"/>
          <w:color w:val="auto"/>
          <w:sz w:val="24"/>
          <w:highlight w:val="none"/>
        </w:rPr>
        <w:t xml:space="preserve">龙景七区日间照料中心位于苏州高新区东渚街道龙景花苑七区小区内，面积约400平方米，内设门厅、休息室、心理咨询室、助餐厅、书画室、阅览室、乒乓球室、多功能室等，内部设施设备已基本配齐。为</w:t>
      </w:r>
      <w:r>
        <w:rPr>
          <w:rFonts w:hint="eastAsia" w:cs="仿宋" w:asciiTheme="minorEastAsia" w:hAnsiTheme="minorEastAsia"/>
          <w:color w:val="auto"/>
          <w:sz w:val="24"/>
          <w:highlight w:val="none"/>
          <w:lang w:eastAsia="zh-CN"/>
        </w:rPr>
        <w:t xml:space="preserve">居住在</w:t>
      </w:r>
      <w:r>
        <w:rPr>
          <w:rFonts w:hint="eastAsia" w:cs="Times New Roman" w:asciiTheme="minorEastAsia" w:hAnsiTheme="minorEastAsia"/>
          <w:color w:val="auto"/>
          <w:sz w:val="24"/>
          <w:szCs w:val="24"/>
          <w:highlight w:val="none"/>
        </w:rPr>
        <w:t xml:space="preserve">科技城（东渚街道）</w:t>
      </w:r>
      <w:r>
        <w:rPr>
          <w:rFonts w:hint="eastAsia" w:cs="Times New Roman" w:asciiTheme="minorEastAsia" w:hAnsiTheme="minorEastAsia"/>
          <w:color w:val="auto"/>
          <w:sz w:val="24"/>
          <w:szCs w:val="24"/>
          <w:highlight w:val="none"/>
          <w:lang w:eastAsia="zh-CN"/>
        </w:rPr>
        <w:t xml:space="preserve">的老年居民</w:t>
      </w:r>
      <w:r>
        <w:rPr>
          <w:rFonts w:hint="eastAsia" w:cs="仿宋" w:asciiTheme="minorEastAsia" w:hAnsiTheme="minorEastAsia"/>
          <w:color w:val="auto"/>
          <w:sz w:val="24"/>
          <w:highlight w:val="none"/>
        </w:rPr>
        <w:t xml:space="preserve">提供日间照料、助餐、健康指导、文化娱乐、心理（精神）慰藉、康复指导等服务，满足社区长者精致化的养老需求，提供专业化服务。</w:t>
      </w:r>
      <w:r/>
    </w:p>
    <w:p>
      <w:pPr>
        <w:ind w:firstLine="482"/>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bCs/>
          <w:color w:val="auto"/>
          <w:sz w:val="24"/>
          <w:szCs w:val="24"/>
          <w:highlight w:val="none"/>
          <w:lang w:val="en-US"/>
        </w:rPr>
        <w:t xml:space="preserve">服务经营要求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1.总体要求：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w:t>
      </w:r>
      <w:r>
        <w:rPr>
          <w:rFonts w:hint="eastAsia" w:ascii="宋体" w:hAnsi="宋体" w:cs="宋体"/>
          <w:b w:val="0"/>
          <w:bCs w:val="0"/>
          <w:color w:val="auto"/>
          <w:sz w:val="24"/>
          <w:szCs w:val="24"/>
          <w:highlight w:val="none"/>
          <w:lang w:val="en-US" w:eastAsia="zh-CN"/>
        </w:rPr>
        <w:t xml:space="preserve">综合为老服务中心</w:t>
      </w:r>
      <w:r>
        <w:rPr>
          <w:rFonts w:hint="eastAsia" w:ascii="宋体" w:hAnsi="宋体" w:eastAsia="宋体" w:cs="宋体"/>
          <w:b w:val="0"/>
          <w:bCs w:val="0"/>
          <w:color w:val="auto"/>
          <w:sz w:val="24"/>
          <w:szCs w:val="24"/>
          <w:highlight w:val="none"/>
          <w:lang w:val="en-US"/>
        </w:rPr>
        <w:t xml:space="preserve">应建立工作人员公示制度；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（2）专业技术人员应具有相关专业资质，持有相关部门颁发的专业、执业资格证书；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（3）养老护理员应持有职业培训证书或等级鉴定证书；</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（4）工勤人员应持有所从事工种的国家职业资格证书，餐饮人员应持有健康证。</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2.中心人员行为规范应符合下列要求：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（1）尊老敬老，尊重人格、民族、宗教信仰和个人习惯，保护个人隐私，具有良好的职业道德；</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rPr>
        <w:t xml:space="preserve">）着装规范，服装整洁，佩戴胸卡上岗；</w:t>
      </w:r>
      <w:r/>
    </w:p>
    <w:p>
      <w:pPr>
        <w:pStyle w:val="666"/>
        <w:ind w:left="0" w:firstLine="480"/>
        <w:rPr>
          <w:rFonts w:hint="eastAsia" w:eastAsia="宋体"/>
          <w:color w:val="auto"/>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遵纪守法，</w:t>
      </w:r>
      <w:r>
        <w:rPr>
          <w:rFonts w:hint="eastAsia" w:ascii="宋体" w:hAnsi="宋体" w:cs="宋体"/>
          <w:b w:val="0"/>
          <w:bCs w:val="0"/>
          <w:color w:val="auto"/>
          <w:sz w:val="24"/>
          <w:szCs w:val="24"/>
          <w:highlight w:val="none"/>
          <w:lang w:val="en-US" w:eastAsia="zh-CN"/>
        </w:rPr>
        <w:t xml:space="preserve">服务</w:t>
      </w:r>
      <w:r>
        <w:rPr>
          <w:rFonts w:hint="eastAsia" w:ascii="宋体" w:hAnsi="宋体" w:eastAsia="宋体" w:cs="宋体"/>
          <w:b w:val="0"/>
          <w:bCs w:val="0"/>
          <w:color w:val="auto"/>
          <w:sz w:val="24"/>
          <w:szCs w:val="24"/>
          <w:highlight w:val="none"/>
          <w:lang w:val="en-US"/>
        </w:rPr>
        <w:t xml:space="preserve">礼貌、热情、亲切、友好；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（4）仪表端庄、精神饱满，佩戴饰品符合行业要求；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（5）语言文明、清晰。</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3.具体要求：</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（1）合理配备管理人员及服务人员，</w:t>
      </w:r>
      <w:r>
        <w:rPr>
          <w:rFonts w:hint="eastAsia" w:ascii="宋体" w:hAnsi="宋体" w:cs="宋体"/>
          <w:b w:val="0"/>
          <w:bCs w:val="0"/>
          <w:color w:val="auto"/>
          <w:sz w:val="24"/>
          <w:szCs w:val="24"/>
          <w:highlight w:val="none"/>
          <w:lang w:val="en-US" w:eastAsia="zh-CN"/>
        </w:rPr>
        <w:t xml:space="preserve">项目主管持有社工证或养老护理员证且有管理经验，</w:t>
      </w:r>
      <w:r>
        <w:rPr>
          <w:rFonts w:hint="eastAsia" w:ascii="宋体" w:hAnsi="宋体" w:eastAsia="宋体" w:cs="宋体"/>
          <w:b w:val="0"/>
          <w:bCs w:val="0"/>
          <w:color w:val="auto"/>
          <w:sz w:val="24"/>
          <w:szCs w:val="24"/>
          <w:highlight w:val="none"/>
          <w:lang w:val="en-US"/>
        </w:rPr>
        <w:t xml:space="preserve">持证人员达到80%以上（社工证、护士证、护理员证等），确保养老服务项目的正常实施；</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（2）制定完善的管理制度和保障机制，建有服务安全和风险规避制度，有员工培训、考勤和奖惩制度，财务管理制度等</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rPr>
        <w:t xml:space="preserve">做到管理正规化、服务规范化、</w:t>
      </w:r>
      <w:r>
        <w:rPr>
          <w:rFonts w:hint="eastAsia" w:ascii="宋体" w:hAnsi="宋体" w:cs="宋体"/>
          <w:b w:val="0"/>
          <w:bCs w:val="0"/>
          <w:color w:val="auto"/>
          <w:sz w:val="24"/>
          <w:szCs w:val="24"/>
          <w:highlight w:val="none"/>
          <w:lang w:val="en-US" w:eastAsia="zh-CN"/>
        </w:rPr>
        <w:t xml:space="preserve">管理</w:t>
      </w:r>
      <w:r>
        <w:rPr>
          <w:rFonts w:hint="eastAsia" w:ascii="宋体" w:hAnsi="宋体" w:eastAsia="宋体" w:cs="宋体"/>
          <w:b w:val="0"/>
          <w:bCs w:val="0"/>
          <w:color w:val="auto"/>
          <w:sz w:val="24"/>
          <w:szCs w:val="24"/>
          <w:highlight w:val="none"/>
          <w:lang w:val="en-US"/>
        </w:rPr>
        <w:t xml:space="preserve">标准化；</w:t>
      </w:r>
      <w:r/>
    </w:p>
    <w:p>
      <w:pPr>
        <w:ind w:firstLine="480"/>
        <w:spacing w:line="360" w:lineRule="auto"/>
        <w:tabs>
          <w:tab w:val="left" w:pos="840" w:leader="none"/>
        </w:tabs>
        <w:rPr>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rPr>
        <w:t xml:space="preserve">）管理并监督中心人员的日常服务，定期召开内部管理会议，配合政府部门协调社区资源开展服务，定期对中心工作人员进行培训。</w:t>
      </w:r>
      <w:r/>
    </w:p>
    <w:p>
      <w:pPr>
        <w:ind w:firstLine="480"/>
        <w:spacing w:line="360" w:lineRule="auto"/>
        <w:tabs>
          <w:tab w:val="left" w:pos="840" w:leader="none"/>
        </w:tabs>
        <w:rPr>
          <w:rFonts w:hint="eastAsia"/>
          <w:color w:val="auto"/>
          <w:highlight w:val="none"/>
          <w:lang w:val="en-US"/>
        </w:rPr>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rPr>
        <w:t xml:space="preserve">每</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汇报</w:t>
      </w:r>
      <w:r>
        <w:rPr>
          <w:rFonts w:hint="eastAsia" w:ascii="宋体" w:hAnsi="宋体" w:cs="宋体"/>
          <w:b w:val="0"/>
          <w:bCs w:val="0"/>
          <w:color w:val="auto"/>
          <w:sz w:val="24"/>
          <w:szCs w:val="24"/>
          <w:highlight w:val="none"/>
          <w:lang w:val="en-US" w:eastAsia="zh-CN"/>
        </w:rPr>
        <w:t xml:space="preserve">本月</w:t>
      </w:r>
      <w:r>
        <w:rPr>
          <w:rFonts w:hint="eastAsia" w:ascii="宋体" w:hAnsi="宋体" w:eastAsia="宋体" w:cs="宋体"/>
          <w:b w:val="0"/>
          <w:bCs w:val="0"/>
          <w:color w:val="auto"/>
          <w:sz w:val="24"/>
          <w:szCs w:val="24"/>
          <w:highlight w:val="none"/>
          <w:lang w:val="en-US"/>
        </w:rPr>
        <w:t xml:space="preserve">服务开展情况及下</w:t>
      </w:r>
      <w:r>
        <w:rPr>
          <w:rFonts w:hint="eastAsia" w:ascii="宋体" w:hAnsi="宋体" w:cs="宋体"/>
          <w:b w:val="0"/>
          <w:bCs w:val="0"/>
          <w:color w:val="auto"/>
          <w:sz w:val="24"/>
          <w:szCs w:val="24"/>
          <w:highlight w:val="none"/>
          <w:lang w:val="en-US" w:eastAsia="zh-CN"/>
        </w:rPr>
        <w:t xml:space="preserve">月</w:t>
      </w:r>
      <w:r>
        <w:rPr>
          <w:rFonts w:hint="eastAsia" w:ascii="宋体" w:hAnsi="宋体" w:eastAsia="宋体" w:cs="宋体"/>
          <w:b w:val="0"/>
          <w:bCs w:val="0"/>
          <w:color w:val="auto"/>
          <w:sz w:val="24"/>
          <w:szCs w:val="24"/>
          <w:highlight w:val="none"/>
          <w:lang w:val="en-US"/>
        </w:rPr>
        <w:t xml:space="preserve">工作计划</w:t>
      </w:r>
      <w:r>
        <w:rPr>
          <w:rFonts w:hint="eastAsia" w:ascii="宋体" w:hAnsi="宋体" w:cs="宋体"/>
          <w:b w:val="0"/>
          <w:bCs w:val="0"/>
          <w:color w:val="auto"/>
          <w:sz w:val="24"/>
          <w:szCs w:val="24"/>
          <w:highlight w:val="none"/>
          <w:lang w:val="en-US" w:eastAsia="zh-CN"/>
        </w:rPr>
        <w:t xml:space="preserve">，形成半年度和年度工作总结</w:t>
      </w:r>
      <w:r>
        <w:rPr>
          <w:rFonts w:hint="eastAsia" w:ascii="宋体" w:hAnsi="宋体" w:eastAsia="宋体" w:cs="宋体"/>
          <w:b w:val="0"/>
          <w:bCs w:val="0"/>
          <w:color w:val="auto"/>
          <w:sz w:val="24"/>
          <w:szCs w:val="24"/>
          <w:highlight w:val="none"/>
          <w:lang w:val="en-US"/>
        </w:rPr>
        <w:t xml:space="preserve">。</w:t>
      </w:r>
      <w:r/>
    </w:p>
    <w:p>
      <w:pPr>
        <w:ind w:firstLine="480"/>
        <w:spacing w:line="360" w:lineRule="auto"/>
        <w:tabs>
          <w:tab w:val="left" w:pos="840" w:leader="none"/>
        </w:tabs>
        <w:rPr>
          <w:color w:val="auto"/>
          <w:highlight w:val="none"/>
        </w:rPr>
      </w:pPr>
      <w:r>
        <w:rPr>
          <w:rFonts w:hint="eastAsia" w:ascii="宋体" w:hAnsi="宋体" w:eastAsia="宋体" w:cs="宋体"/>
          <w:b w:val="0"/>
          <w:bCs w:val="0"/>
          <w:color w:val="auto"/>
          <w:sz w:val="24"/>
          <w:szCs w:val="24"/>
          <w:highlight w:val="none"/>
          <w:lang w:val="en-US"/>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rPr>
        <w:t xml:space="preserve">）中心活动（或服务）丰富，每周公示</w:t>
      </w:r>
      <w:r>
        <w:rPr>
          <w:rFonts w:hint="eastAsia" w:ascii="宋体" w:hAnsi="宋体" w:cs="宋体"/>
          <w:b w:val="0"/>
          <w:bCs w:val="0"/>
          <w:color w:val="auto"/>
          <w:sz w:val="24"/>
          <w:szCs w:val="24"/>
          <w:highlight w:val="none"/>
          <w:lang w:val="en-US" w:eastAsia="zh-CN"/>
        </w:rPr>
        <w:t xml:space="preserve">活动服务内容</w:t>
      </w:r>
      <w:r>
        <w:rPr>
          <w:rFonts w:hint="eastAsia" w:ascii="宋体" w:hAnsi="宋体" w:eastAsia="宋体" w:cs="宋体"/>
          <w:b w:val="0"/>
          <w:bCs w:val="0"/>
          <w:color w:val="auto"/>
          <w:sz w:val="24"/>
          <w:szCs w:val="24"/>
          <w:highlight w:val="none"/>
          <w:lang w:val="en-US"/>
        </w:rPr>
        <w:t xml:space="preserve">，活动、课程和服务符合老年人需求，参与度高。</w:t>
      </w:r>
      <w:r/>
    </w:p>
    <w:p>
      <w:pPr>
        <w:ind w:firstLine="482"/>
        <w:spacing w:line="360" w:lineRule="auto"/>
        <w:rPr>
          <w:rFonts w:cs="仿宋" w:asciiTheme="minorEastAsia" w:hAnsiTheme="minorEastAsia"/>
          <w:color w:val="auto"/>
          <w:sz w:val="24"/>
          <w:highlight w:val="none"/>
        </w:rPr>
      </w:pPr>
      <w:r>
        <w:rPr>
          <w:rFonts w:hint="eastAsia" w:cs="楷体" w:asciiTheme="minorEastAsia" w:hAnsiTheme="minorEastAsia"/>
          <w:b/>
          <w:color w:val="auto"/>
          <w:sz w:val="24"/>
          <w:highlight w:val="none"/>
        </w:rPr>
        <w:t xml:space="preserve">服务对象：</w:t>
      </w:r>
      <w:r>
        <w:rPr>
          <w:rFonts w:hint="eastAsia" w:cs="仿宋" w:asciiTheme="minorEastAsia" w:hAnsiTheme="minorEastAsia"/>
          <w:color w:val="auto"/>
          <w:sz w:val="24"/>
          <w:highlight w:val="none"/>
        </w:rPr>
        <w:t xml:space="preserve">为周边社区范围内所有年龄满</w:t>
      </w:r>
      <w:r>
        <w:rPr>
          <w:rFonts w:hint="eastAsia" w:ascii="宋体" w:hAnsi="宋体" w:eastAsia="宋体" w:cs="宋体"/>
          <w:color w:val="auto"/>
          <w:sz w:val="24"/>
          <w:highlight w:val="none"/>
        </w:rPr>
        <w:t xml:space="preserve">60</w:t>
      </w:r>
      <w:r>
        <w:rPr>
          <w:rFonts w:hint="eastAsia" w:cs="仿宋" w:asciiTheme="minorEastAsia" w:hAnsiTheme="minorEastAsia"/>
          <w:color w:val="auto"/>
          <w:sz w:val="24"/>
          <w:highlight w:val="none"/>
        </w:rPr>
        <w:t xml:space="preserve">周岁、生活能基本自理、健康状况良好、无传染性疾病和精神病史的老人，重点服务高龄老人、空巢老人、残疾老人、</w:t>
      </w:r>
      <w:r>
        <w:rPr>
          <w:rFonts w:hint="eastAsia" w:cs="仿宋" w:asciiTheme="minorEastAsia" w:hAnsiTheme="minorEastAsia"/>
          <w:color w:val="auto"/>
          <w:sz w:val="24"/>
          <w:highlight w:val="none"/>
          <w:lang w:eastAsia="zh-CN"/>
        </w:rPr>
        <w:t xml:space="preserve">低收入家庭</w:t>
      </w:r>
      <w:r>
        <w:rPr>
          <w:rFonts w:hint="eastAsia" w:cs="仿宋" w:asciiTheme="minorEastAsia" w:hAnsiTheme="minorEastAsia"/>
          <w:color w:val="auto"/>
          <w:sz w:val="24"/>
          <w:highlight w:val="none"/>
        </w:rPr>
        <w:t xml:space="preserve">老人等,社区内需要日间照料的老年人。</w:t>
      </w:r>
      <w:r/>
    </w:p>
    <w:p>
      <w:pPr>
        <w:pStyle w:val="972"/>
        <w:ind w:firstLine="482"/>
        <w:spacing w:line="360" w:lineRule="auto"/>
        <w:rPr>
          <w:rFonts w:hint="eastAsia" w:asciiTheme="minorEastAsia" w:hAnsiTheme="minorEastAsia"/>
          <w:b/>
          <w:color w:val="auto"/>
          <w:sz w:val="24"/>
          <w:szCs w:val="24"/>
          <w:highlight w:val="none"/>
          <w:lang w:val="en-US"/>
        </w:rPr>
      </w:pPr>
      <w:r>
        <w:rPr>
          <w:rFonts w:hint="eastAsia" w:asciiTheme="minorEastAsia" w:hAnsiTheme="minorEastAsia"/>
          <w:b/>
          <w:color w:val="auto"/>
          <w:sz w:val="24"/>
          <w:szCs w:val="24"/>
          <w:highlight w:val="none"/>
          <w:lang w:val="en-US"/>
        </w:rPr>
        <w:t xml:space="preserve">项目清单：</w:t>
      </w:r>
      <w:r/>
    </w:p>
    <w:tbl>
      <w:tblPr>
        <w:tblStyle w:val="665"/>
        <w:tblW w:w="9045" w:type="dxa"/>
        <w:tblInd w:w="-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82"/>
        <w:gridCol w:w="1605"/>
        <w:gridCol w:w="1080"/>
        <w:gridCol w:w="1080"/>
        <w:gridCol w:w="1080"/>
        <w:gridCol w:w="2818"/>
      </w:tblGrid>
      <w:tr>
        <w:trPr>
          <w:trHeight w:val="765"/>
        </w:trPr>
        <w:tc>
          <w:tcPr>
            <w:shd w:val="clear" w:color="auto" w:fill="auto"/>
            <w:tcW w:w="13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科目名称</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分项内容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每月单价（元）</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2年预算总价（元）</w:t>
            </w:r>
            <w:r/>
          </w:p>
        </w:tc>
        <w:tc>
          <w:tcPr>
            <w:shd w:val="clear" w:color="auto" w:fill="auto"/>
            <w:tcW w:w="2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440"/>
        </w:trPr>
        <w:tc>
          <w:tcPr>
            <w:shd w:val="clear" w:color="auto" w:fill="ffffff"/>
            <w:tcW w:w="13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龙景南区日间照料中心运营管理及服务（202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人员经费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w:t>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主管1名，工作人员3名</w:t>
            </w:r>
            <w:r/>
          </w:p>
        </w:tc>
      </w:tr>
      <w:tr>
        <w:trPr>
          <w:trHeight w:val="44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活动经费</w:t>
            </w:r>
            <w:r/>
          </w:p>
        </w:tc>
        <w:tc>
          <w:tcPr>
            <w:shd w:val="clear" w:color="auto" w:fill="auto"/>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68</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详见活动清单</w:t>
            </w:r>
            <w:r/>
          </w:p>
        </w:tc>
      </w:tr>
      <w:tr>
        <w:trPr>
          <w:trHeight w:val="57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管理费及税费</w:t>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2年</w:t>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3、报刊杂志费，5至6种报纸及杂志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4、各类厨具、电器、</w:t>
            </w:r>
            <w:r>
              <w:rPr>
                <w:rFonts w:hint="eastAsia" w:ascii="宋体" w:hAnsi="宋体" w:cs="宋体"/>
                <w:i w:val="0"/>
                <w:iCs w:val="0"/>
                <w:color w:val="auto"/>
                <w:sz w:val="22"/>
                <w:szCs w:val="22"/>
                <w:highlight w:val="none"/>
                <w:u w:val="none"/>
                <w:lang w:val="en-US" w:eastAsia="zh-CN" w:bidi="ar"/>
              </w:rPr>
              <w:t xml:space="preserve">康复设施等设施设备</w:t>
            </w:r>
            <w:r>
              <w:rPr>
                <w:rFonts w:hint="eastAsia" w:ascii="宋体" w:hAnsi="宋体" w:eastAsia="宋体" w:cs="宋体"/>
                <w:i w:val="0"/>
                <w:iCs w:val="0"/>
                <w:color w:val="auto"/>
                <w:sz w:val="22"/>
                <w:szCs w:val="22"/>
                <w:highlight w:val="none"/>
                <w:u w:val="none"/>
                <w:lang w:val="en-US" w:eastAsia="zh-CN" w:bidi="ar"/>
              </w:rPr>
              <w:t xml:space="preserve">维修                            5、管理费（场地险、日常办公</w:t>
            </w:r>
            <w:r>
              <w:rPr>
                <w:rFonts w:hint="eastAsia" w:ascii="宋体" w:hAnsi="宋体" w:cs="宋体"/>
                <w:i w:val="0"/>
                <w:iCs w:val="0"/>
                <w:color w:val="auto"/>
                <w:sz w:val="22"/>
                <w:szCs w:val="22"/>
                <w:highlight w:val="none"/>
                <w:u w:val="none"/>
                <w:lang w:val="en-US" w:eastAsia="zh-CN" w:bidi="ar"/>
              </w:rPr>
              <w:t xml:space="preserve">耗材</w:t>
            </w:r>
            <w:r>
              <w:rPr>
                <w:rFonts w:hint="eastAsia" w:ascii="宋体" w:hAnsi="宋体" w:eastAsia="宋体" w:cs="宋体"/>
                <w:i w:val="0"/>
                <w:iCs w:val="0"/>
                <w:color w:val="auto"/>
                <w:sz w:val="22"/>
                <w:szCs w:val="22"/>
                <w:highlight w:val="none"/>
                <w:u w:val="none"/>
                <w:lang w:val="en-US" w:eastAsia="zh-CN" w:bidi="ar"/>
              </w:rPr>
              <w:t xml:space="preserve">、税费等）</w:t>
            </w:r>
            <w:r/>
          </w:p>
        </w:tc>
      </w:tr>
      <w:tr>
        <w:trPr>
          <w:trHeight w:val="54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6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12"/>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40"/>
        </w:trPr>
        <w:tc>
          <w:tcPr>
            <w:gridSpan w:val="4"/>
            <w:shd w:val="clear" w:color="auto" w:fill="ffffff" w:themeFill="background1"/>
            <w:tcW w:w="51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2818" w:type="dxa"/>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821"/>
        </w:trPr>
        <w:tc>
          <w:tcPr>
            <w:shd w:val="clear" w:color="auto" w:fill="auto"/>
            <w:tcW w:w="138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科目名称</w:t>
            </w:r>
            <w:r/>
          </w:p>
        </w:tc>
        <w:tc>
          <w:tcPr>
            <w:shd w:val="clear" w:color="auto" w:fill="auto"/>
            <w:tcW w:w="16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分项内容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每月单价（元）</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2年预算总价（元）</w:t>
            </w:r>
            <w:r/>
          </w:p>
        </w:tc>
        <w:tc>
          <w:tcPr>
            <w:shd w:val="clear" w:color="auto" w:fill="auto"/>
            <w:tcW w:w="28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440"/>
        </w:trPr>
        <w:tc>
          <w:tcPr>
            <w:shd w:val="clear" w:color="auto" w:fill="ffffff"/>
            <w:tcW w:w="138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龙景七区日间照料中心运营管理及服务（202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人员经费</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4人</w:t>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主管1名，工作人员3名</w:t>
            </w:r>
            <w:r/>
          </w:p>
        </w:tc>
      </w:tr>
      <w:tr>
        <w:trPr>
          <w:trHeight w:val="48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活动经费</w:t>
            </w:r>
            <w:r/>
          </w:p>
        </w:tc>
        <w:tc>
          <w:tcPr>
            <w:shd w:val="clear" w:color="auto" w:fill="auto"/>
            <w:tcW w:w="1080"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68</w:t>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108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818"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详见活动清单</w:t>
            </w:r>
            <w:r/>
          </w:p>
        </w:tc>
      </w:tr>
      <w:tr>
        <w:trPr>
          <w:trHeight w:val="57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管理费及税费</w:t>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2年</w:t>
            </w:r>
            <w:r/>
          </w:p>
        </w:tc>
        <w:tc>
          <w:tcPr>
            <w:shd w:val="clear" w:color="auto" w:fill="ffffff"/>
            <w:tcW w:w="1080"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ffffff"/>
            <w:tcW w:w="10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1、通信、网络、电视等费用（日照日常老人联络、订餐确认、活动通知、节日慰问、入户预约相关工作等）                     2、清洁用品等耗材（口罩，消毒液，垃圾袋等）</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3、报刊杂志费，5至6种报纸及杂志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4、各类厨具、电器、</w:t>
            </w:r>
            <w:r>
              <w:rPr>
                <w:rFonts w:hint="eastAsia" w:ascii="宋体" w:hAnsi="宋体" w:cs="宋体"/>
                <w:i w:val="0"/>
                <w:iCs w:val="0"/>
                <w:color w:val="auto"/>
                <w:sz w:val="22"/>
                <w:szCs w:val="22"/>
                <w:highlight w:val="none"/>
                <w:u w:val="none"/>
                <w:lang w:val="en-US" w:eastAsia="zh-CN" w:bidi="ar"/>
              </w:rPr>
              <w:t xml:space="preserve">康复设施等</w:t>
            </w:r>
            <w:r>
              <w:rPr>
                <w:rFonts w:hint="eastAsia" w:ascii="宋体" w:hAnsi="宋体" w:eastAsia="宋体" w:cs="宋体"/>
                <w:i w:val="0"/>
                <w:iCs w:val="0"/>
                <w:color w:val="auto"/>
                <w:sz w:val="22"/>
                <w:szCs w:val="22"/>
                <w:highlight w:val="none"/>
                <w:u w:val="none"/>
                <w:lang w:val="en-US" w:eastAsia="zh-CN" w:bidi="ar"/>
              </w:rPr>
              <w:t xml:space="preserve">设施设备维修                            5、管理费（场地险、日常办公</w:t>
            </w:r>
            <w:r>
              <w:rPr>
                <w:rFonts w:hint="eastAsia" w:ascii="宋体" w:hAnsi="宋体" w:cs="宋体"/>
                <w:i w:val="0"/>
                <w:iCs w:val="0"/>
                <w:color w:val="auto"/>
                <w:sz w:val="22"/>
                <w:szCs w:val="22"/>
                <w:highlight w:val="none"/>
                <w:u w:val="none"/>
                <w:lang w:val="en-US" w:eastAsia="zh-CN" w:bidi="ar"/>
              </w:rPr>
              <w:t xml:space="preserve">耗材</w:t>
            </w:r>
            <w:r>
              <w:rPr>
                <w:rFonts w:hint="eastAsia" w:ascii="宋体" w:hAnsi="宋体" w:eastAsia="宋体" w:cs="宋体"/>
                <w:i w:val="0"/>
                <w:iCs w:val="0"/>
                <w:color w:val="auto"/>
                <w:sz w:val="22"/>
                <w:szCs w:val="22"/>
                <w:highlight w:val="none"/>
                <w:u w:val="none"/>
                <w:lang w:val="en-US" w:eastAsia="zh-CN" w:bidi="ar"/>
              </w:rPr>
              <w:t xml:space="preserve">、税费等）</w:t>
            </w:r>
            <w:r/>
          </w:p>
        </w:tc>
      </w:tr>
      <w:tr>
        <w:trPr>
          <w:trHeight w:val="48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0"/>
        </w:trPr>
        <w:tc>
          <w:tcPr>
            <w:shd w:val="clear" w:color="auto" w:fill="ffffff"/>
            <w:tcW w:w="1382"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605"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1080"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cW w:w="2818"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0"/>
        </w:trPr>
        <w:tc>
          <w:tcPr>
            <w:gridSpan w:val="4"/>
            <w:shd w:val="clear" w:color="auto" w:fill="ffffff" w:themeFill="background1"/>
            <w:tcW w:w="514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W w:w="281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440"/>
        </w:trPr>
        <w:tc>
          <w:tcPr>
            <w:gridSpan w:val="4"/>
            <w:shd w:val="clear" w:color="auto" w:fill="ffffff" w:themeFill="background1"/>
            <w:tcW w:w="5147"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shd w:val="clear" w:color="auto" w:fill="ffffff" w:themeFill="background1"/>
            <w:tcW w:w="108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ffffff" w:themeFill="background1"/>
            <w:tcW w:w="2818"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numPr>
          <w:ilvl w:val="0"/>
          <w:numId w:val="0"/>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2"/>
        <w:ind w:left="0" w:firstLine="0"/>
        <w:spacing w:line="360" w:lineRule="auto"/>
        <w:rPr>
          <w:rFonts w:hint="eastAsia" w:asciiTheme="minorEastAsia" w:hAnsiTheme="minorEastAsia"/>
          <w:b/>
          <w:color w:val="auto"/>
          <w:sz w:val="24"/>
          <w:szCs w:val="24"/>
          <w:highlight w:val="none"/>
          <w:lang w:val="en-US"/>
        </w:rPr>
      </w:pPr>
      <w:r>
        <w:rPr>
          <w:rFonts w:hint="eastAsia" w:cs="宋体" w:asciiTheme="minorEastAsia" w:hAnsiTheme="minorEastAsia"/>
          <w:b/>
          <w:color w:val="auto"/>
          <w:sz w:val="24"/>
          <w:szCs w:val="24"/>
          <w:highlight w:val="none"/>
        </w:rPr>
        <w:t xml:space="preserve">活动明细：</w:t>
      </w:r>
      <w:r/>
    </w:p>
    <w:tbl>
      <w:tblPr>
        <w:tblStyle w:val="665"/>
        <w:tblW w:w="5148" w:type="pct"/>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7"/>
        <w:gridCol w:w="1267"/>
        <w:gridCol w:w="702"/>
        <w:gridCol w:w="704"/>
        <w:gridCol w:w="888"/>
        <w:gridCol w:w="988"/>
        <w:gridCol w:w="4028"/>
      </w:tblGrid>
      <w:tr>
        <w:trPr>
          <w:trHeight w:val="445"/>
        </w:trPr>
        <w:tc>
          <w:tcPr>
            <w:shd w:val="clear" w:color="auto" w:fill="auto"/>
            <w:tcW w:w="58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日间照料名称</w:t>
            </w:r>
            <w:r/>
          </w:p>
        </w:tc>
        <w:tc>
          <w:tcPr>
            <w:shd w:val="clear" w:color="auto" w:fill="auto"/>
            <w:tcW w:w="65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活动明细</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场次</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单价</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合价</w:t>
            </w:r>
            <w:r/>
          </w:p>
        </w:tc>
        <w:tc>
          <w:tcPr>
            <w:shd w:val="clear" w:color="auto" w:fill="auto"/>
            <w:tcW w:w="207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624"/>
        </w:trPr>
        <w:tc>
          <w:tcPr>
            <w:shd w:val="clear" w:color="auto" w:fill="auto"/>
            <w:tcW w:w="585"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65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次/年</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（元/场）</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W w:w="2072" w:type="pct"/>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932"/>
        </w:trPr>
        <w:tc>
          <w:tcPr>
            <w:shd w:val="clear" w:color="auto" w:fill="ffffff"/>
            <w:tcW w:w="58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龙景南区日间照料中心运营管理及服务（202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主题活动    （节日娱乐类）</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结合传统节日等开展</w:t>
            </w:r>
            <w:r>
              <w:rPr>
                <w:rFonts w:hint="eastAsia" w:ascii="宋体" w:hAnsi="宋体" w:eastAsia="宋体" w:cs="宋体"/>
                <w:i w:val="0"/>
                <w:iCs w:val="0"/>
                <w:color w:val="auto"/>
                <w:sz w:val="22"/>
                <w:szCs w:val="22"/>
                <w:highlight w:val="none"/>
                <w:u w:val="none"/>
                <w:lang w:val="en-US" w:eastAsia="zh-CN" w:bidi="ar"/>
              </w:rPr>
              <w:t xml:space="preserve">主题活动，</w:t>
            </w:r>
            <w:r>
              <w:rPr>
                <w:rFonts w:hint="eastAsia" w:ascii="宋体" w:hAnsi="宋体" w:cs="宋体"/>
                <w:i w:val="0"/>
                <w:iCs w:val="0"/>
                <w:color w:val="auto"/>
                <w:sz w:val="22"/>
                <w:szCs w:val="22"/>
                <w:highlight w:val="none"/>
                <w:u w:val="none"/>
                <w:lang w:val="en-US" w:eastAsia="zh-CN" w:bidi="ar"/>
              </w:rPr>
              <w:t xml:space="preserve">每月开展一次主题活动。</w:t>
            </w:r>
            <w:r/>
          </w:p>
        </w:tc>
      </w:tr>
      <w:tr>
        <w:trPr>
          <w:trHeight w:val="855"/>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专题讲座</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开展技能培训、健康养生、智能机运营技术</w:t>
            </w:r>
            <w:r>
              <w:rPr>
                <w:rFonts w:hint="eastAsia" w:ascii="宋体" w:hAnsi="宋体" w:cs="宋体"/>
                <w:i w:val="0"/>
                <w:iCs w:val="0"/>
                <w:color w:val="auto"/>
                <w:sz w:val="22"/>
                <w:szCs w:val="22"/>
                <w:highlight w:val="none"/>
                <w:u w:val="none"/>
                <w:lang w:val="en-US" w:eastAsia="zh-CN" w:bidi="ar"/>
              </w:rPr>
              <w:t xml:space="preserve">、认知障碍家庭照料等</w:t>
            </w:r>
            <w:r>
              <w:rPr>
                <w:rFonts w:hint="eastAsia" w:ascii="宋体" w:hAnsi="宋体" w:eastAsia="宋体" w:cs="宋体"/>
                <w:i w:val="0"/>
                <w:iCs w:val="0"/>
                <w:color w:val="auto"/>
                <w:sz w:val="22"/>
                <w:szCs w:val="22"/>
                <w:highlight w:val="none"/>
                <w:u w:val="none"/>
                <w:lang w:val="en-US" w:eastAsia="zh-CN" w:bidi="ar"/>
              </w:rPr>
              <w:t xml:space="preserve">讲座等</w:t>
            </w:r>
            <w:r>
              <w:rPr>
                <w:rFonts w:hint="eastAsia" w:ascii="宋体" w:hAnsi="宋体" w:cs="宋体"/>
                <w:i w:val="0"/>
                <w:iCs w:val="0"/>
                <w:color w:val="auto"/>
                <w:sz w:val="22"/>
                <w:szCs w:val="22"/>
                <w:highlight w:val="none"/>
                <w:u w:val="none"/>
                <w:lang w:val="en-US" w:eastAsia="zh-CN" w:bidi="ar"/>
              </w:rPr>
              <w:t xml:space="preserve">讲座，每月开展一次专题讲座。</w:t>
            </w:r>
            <w:r/>
          </w:p>
        </w:tc>
      </w:tr>
      <w:tr>
        <w:trPr>
          <w:trHeight w:val="1137"/>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兴趣小组     （培育及活动）</w:t>
            </w:r>
            <w:r/>
          </w:p>
        </w:tc>
        <w:tc>
          <w:tcPr>
            <w:shd w:val="clear" w:color="auto" w:fill="auto"/>
            <w:tcW w:w="36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shd w:val="clear" w:color="auto" w:fill="auto"/>
            <w:tcW w:w="36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48</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1240"/>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志愿者团队   （培育及活动）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组建不少于15人的志愿者服务队伍</w:t>
            </w:r>
            <w:r>
              <w:rPr>
                <w:rFonts w:hint="eastAsia" w:ascii="宋体" w:hAnsi="宋体" w:cs="宋体"/>
                <w:i w:val="0"/>
                <w:iCs w:val="0"/>
                <w:color w:val="auto"/>
                <w:sz w:val="22"/>
                <w:szCs w:val="22"/>
                <w:highlight w:val="none"/>
                <w:u w:val="none"/>
                <w:lang w:val="en-US" w:eastAsia="zh-CN" w:bidi="ar"/>
              </w:rPr>
              <w:t xml:space="preserve">，开展空巢独居、困难老年慰问，每月开展一次志愿者团队活动。</w:t>
            </w:r>
            <w:r>
              <w:rPr>
                <w:rFonts w:hint="eastAsia" w:ascii="宋体" w:hAnsi="宋体" w:eastAsia="宋体" w:cs="宋体"/>
                <w:i w:val="0"/>
                <w:iCs w:val="0"/>
                <w:color w:val="auto"/>
                <w:sz w:val="22"/>
                <w:szCs w:val="22"/>
                <w:highlight w:val="none"/>
                <w:u w:val="none"/>
                <w:lang w:val="en-US" w:eastAsia="zh-CN" w:bidi="ar"/>
              </w:rPr>
              <w:t xml:space="preserve"> </w:t>
            </w:r>
            <w:r/>
          </w:p>
        </w:tc>
      </w:tr>
      <w:tr>
        <w:trPr>
          <w:trHeight w:val="2263"/>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健康管理活动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numPr>
                <w:ilvl w:val="0"/>
                <w:numId w:val="0"/>
              </w:numPr>
              <w:jc w:val="left"/>
              <w:keepLines w:val="0"/>
              <w:keepNext w:val="0"/>
              <w:widowControl/>
              <w:rPr>
                <w:rFonts w:hint="eastAsia"/>
                <w:color w:val="auto"/>
                <w:highlight w:val="none"/>
              </w:rPr>
              <w:suppressLineNumbers w:val="0"/>
            </w:pP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引入专业力量开展拔罐、针灸、推拿等中医特色康复理疗服务；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与医疗机构合作，开展基础医疗、护理服务；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开展量血压、测血糖等基本医疗卫生服务，专业人士指导老人进行适宜运动</w:t>
            </w:r>
            <w:r>
              <w:rPr>
                <w:rFonts w:hint="eastAsia" w:ascii="宋体" w:hAnsi="宋体" w:cs="宋体"/>
                <w:i w:val="0"/>
                <w:iCs w:val="0"/>
                <w:color w:val="auto"/>
                <w:sz w:val="22"/>
                <w:szCs w:val="22"/>
                <w:highlight w:val="none"/>
                <w:u w:val="none"/>
                <w:lang w:val="en-US" w:eastAsia="zh-CN" w:bidi="ar"/>
              </w:rPr>
              <w:t xml:space="preserve">、膳食营养。</w:t>
            </w:r>
            <w:r/>
          </w:p>
          <w:p>
            <w:pPr>
              <w:numPr>
                <w:ilvl w:val="0"/>
                <w:numId w:val="0"/>
              </w:numPr>
              <w:ind w:left="0" w:firstLine="0"/>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每月开展一次健康管理活动。</w:t>
            </w:r>
            <w:r/>
          </w:p>
        </w:tc>
      </w:tr>
      <w:tr>
        <w:trPr>
          <w:trHeight w:val="855"/>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心理慰藉</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提供包括但不限于情绪疏导、心理咨询、危机干预</w:t>
            </w:r>
            <w:r>
              <w:rPr>
                <w:rFonts w:hint="eastAsia" w:ascii="宋体" w:hAnsi="宋体" w:cs="宋体"/>
                <w:i w:val="0"/>
                <w:iCs w:val="0"/>
                <w:color w:val="auto"/>
                <w:sz w:val="22"/>
                <w:szCs w:val="22"/>
                <w:highlight w:val="none"/>
                <w:u w:val="none"/>
                <w:lang w:val="en-US" w:eastAsia="zh-CN" w:bidi="ar"/>
              </w:rPr>
              <w:t xml:space="preserve">、心理赋能</w:t>
            </w:r>
            <w:r>
              <w:rPr>
                <w:rFonts w:hint="eastAsia" w:ascii="宋体" w:hAnsi="宋体" w:eastAsia="宋体" w:cs="宋体"/>
                <w:i w:val="0"/>
                <w:iCs w:val="0"/>
                <w:color w:val="auto"/>
                <w:sz w:val="22"/>
                <w:szCs w:val="22"/>
                <w:highlight w:val="none"/>
                <w:u w:val="none"/>
                <w:lang w:val="en-US" w:eastAsia="zh-CN" w:bidi="ar"/>
              </w:rPr>
              <w:t xml:space="preserve">等心理类服务</w:t>
            </w:r>
            <w:r>
              <w:rPr>
                <w:rFonts w:hint="eastAsia" w:ascii="宋体" w:hAnsi="宋体" w:cs="宋体"/>
                <w:i w:val="0"/>
                <w:iCs w:val="0"/>
                <w:color w:val="auto"/>
                <w:sz w:val="22"/>
                <w:szCs w:val="22"/>
                <w:highlight w:val="none"/>
                <w:u w:val="none"/>
                <w:lang w:val="en-US" w:eastAsia="zh-CN" w:bidi="ar"/>
              </w:rPr>
              <w:t xml:space="preserve">，每两月开展一次。</w:t>
            </w:r>
            <w:r/>
          </w:p>
        </w:tc>
      </w:tr>
      <w:tr>
        <w:trPr>
          <w:trHeight w:val="583"/>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便民</w:t>
            </w:r>
            <w:r>
              <w:rPr>
                <w:rFonts w:hint="eastAsia" w:ascii="宋体" w:hAnsi="宋体" w:eastAsia="宋体" w:cs="宋体"/>
                <w:i w:val="0"/>
                <w:iCs w:val="0"/>
                <w:color w:val="auto"/>
                <w:sz w:val="24"/>
                <w:szCs w:val="24"/>
                <w:highlight w:val="none"/>
                <w:u w:val="none"/>
                <w:lang w:val="en-US" w:eastAsia="zh-CN" w:bidi="ar"/>
              </w:rPr>
              <w:t xml:space="preserve">咨询</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Theme="minorEastAsia" w:hAnsiTheme="minorEastAsia" w:eastAsiaTheme="minorEastAsia" w:cstheme="minorEastAsia"/>
                <w:color w:val="auto"/>
                <w:sz w:val="22"/>
                <w:highlight w:val="none"/>
                <w:lang w:bidi="ar"/>
              </w:rPr>
              <w:t xml:space="preserve">理发、修理小家电、健康咨询、法律咨询等</w:t>
            </w:r>
            <w:r>
              <w:rPr>
                <w:rFonts w:hint="eastAsia" w:asciiTheme="minorEastAsia" w:hAnsiTheme="minorEastAsia" w:eastAsiaTheme="minorEastAsia" w:cstheme="minorEastAsia"/>
                <w:color w:val="auto"/>
                <w:sz w:val="22"/>
                <w:highlight w:val="none"/>
                <w:lang w:eastAsia="zh-CN" w:bidi="ar"/>
              </w:rPr>
              <w:t xml:space="preserve">，每两月开展一次</w:t>
            </w:r>
            <w:r>
              <w:rPr>
                <w:rFonts w:hint="eastAsia" w:asciiTheme="minorEastAsia" w:hAnsiTheme="minorEastAsia" w:eastAsiaTheme="minorEastAsia" w:cstheme="minorEastAsia"/>
                <w:color w:val="auto"/>
                <w:sz w:val="22"/>
                <w:highlight w:val="none"/>
                <w:lang w:bidi="ar"/>
              </w:rPr>
              <w:t xml:space="preserve">。</w:t>
            </w:r>
            <w:r/>
          </w:p>
        </w:tc>
      </w:tr>
      <w:tr>
        <w:trPr>
          <w:trHeight w:val="642"/>
        </w:trPr>
        <w:tc>
          <w:tcPr>
            <w:gridSpan w:val="2"/>
            <w:shd w:val="clear" w:color="auto" w:fill="ffffff" w:themeFill="background1"/>
            <w:tcW w:w="12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361"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72</w:t>
            </w:r>
            <w:r/>
          </w:p>
        </w:tc>
        <w:tc>
          <w:tcPr>
            <w:shd w:val="clear" w:color="auto" w:fill="ffffff" w:themeFill="background1"/>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168</w:t>
            </w:r>
            <w:r/>
          </w:p>
        </w:tc>
        <w:tc>
          <w:tcPr>
            <w:shd w:val="clear" w:color="auto" w:fill="ffffff" w:themeFill="background1"/>
            <w:tcW w:w="457"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W w:w="50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2072"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932"/>
        </w:trPr>
        <w:tc>
          <w:tcPr>
            <w:shd w:val="clear" w:color="auto" w:fill="ffffff"/>
            <w:tcW w:w="58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龙景七区日间照料中心运营管理及服务（202</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年7月-202</w:t>
            </w:r>
            <w:r>
              <w:rPr>
                <w:rFonts w:hint="eastAsia" w:ascii="宋体" w:hAnsi="宋体" w:cs="宋体"/>
                <w:i w:val="0"/>
                <w:iCs w:val="0"/>
                <w:color w:val="auto"/>
                <w:sz w:val="24"/>
                <w:szCs w:val="24"/>
                <w:highlight w:val="none"/>
                <w:u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年6月）</w:t>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主题活动    （节日娱乐类）</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结合传统节日等开展</w:t>
            </w:r>
            <w:r>
              <w:rPr>
                <w:rFonts w:hint="eastAsia" w:ascii="宋体" w:hAnsi="宋体" w:eastAsia="宋体" w:cs="宋体"/>
                <w:i w:val="0"/>
                <w:iCs w:val="0"/>
                <w:color w:val="auto"/>
                <w:sz w:val="22"/>
                <w:szCs w:val="22"/>
                <w:highlight w:val="none"/>
                <w:u w:val="none"/>
                <w:lang w:val="en-US" w:eastAsia="zh-CN" w:bidi="ar"/>
              </w:rPr>
              <w:t xml:space="preserve">主题活动，</w:t>
            </w:r>
            <w:r>
              <w:rPr>
                <w:rFonts w:hint="eastAsia" w:ascii="宋体" w:hAnsi="宋体" w:cs="宋体"/>
                <w:i w:val="0"/>
                <w:iCs w:val="0"/>
                <w:color w:val="auto"/>
                <w:sz w:val="22"/>
                <w:szCs w:val="22"/>
                <w:highlight w:val="none"/>
                <w:u w:val="none"/>
                <w:lang w:val="en-US" w:eastAsia="zh-CN" w:bidi="ar"/>
              </w:rPr>
              <w:t xml:space="preserve">每月开展一次主题活动。</w:t>
            </w:r>
            <w:r/>
          </w:p>
        </w:tc>
      </w:tr>
      <w:tr>
        <w:trPr>
          <w:trHeight w:val="859"/>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专题讲座</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开展技能培训、健康养生、智能机运营技术</w:t>
            </w:r>
            <w:r>
              <w:rPr>
                <w:rFonts w:hint="eastAsia" w:ascii="宋体" w:hAnsi="宋体" w:cs="宋体"/>
                <w:i w:val="0"/>
                <w:iCs w:val="0"/>
                <w:color w:val="auto"/>
                <w:sz w:val="22"/>
                <w:szCs w:val="22"/>
                <w:highlight w:val="none"/>
                <w:u w:val="none"/>
                <w:lang w:val="en-US" w:eastAsia="zh-CN" w:bidi="ar"/>
              </w:rPr>
              <w:t xml:space="preserve">、认知障碍家庭照料等</w:t>
            </w:r>
            <w:r>
              <w:rPr>
                <w:rFonts w:hint="eastAsia" w:ascii="宋体" w:hAnsi="宋体" w:eastAsia="宋体" w:cs="宋体"/>
                <w:i w:val="0"/>
                <w:iCs w:val="0"/>
                <w:color w:val="auto"/>
                <w:sz w:val="22"/>
                <w:szCs w:val="22"/>
                <w:highlight w:val="none"/>
                <w:u w:val="none"/>
                <w:lang w:val="en-US" w:eastAsia="zh-CN" w:bidi="ar"/>
              </w:rPr>
              <w:t xml:space="preserve">讲座等</w:t>
            </w:r>
            <w:r>
              <w:rPr>
                <w:rFonts w:hint="eastAsia" w:ascii="宋体" w:hAnsi="宋体" w:cs="宋体"/>
                <w:i w:val="0"/>
                <w:iCs w:val="0"/>
                <w:color w:val="auto"/>
                <w:sz w:val="22"/>
                <w:szCs w:val="22"/>
                <w:highlight w:val="none"/>
                <w:u w:val="none"/>
                <w:lang w:val="en-US" w:eastAsia="zh-CN" w:bidi="ar"/>
              </w:rPr>
              <w:t xml:space="preserve">讲座，每月开展一次专题讲座。</w:t>
            </w:r>
            <w:r/>
          </w:p>
        </w:tc>
      </w:tr>
      <w:tr>
        <w:trPr>
          <w:trHeight w:val="1137"/>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兴趣小组     （培育及活动）</w:t>
            </w:r>
            <w:r/>
          </w:p>
        </w:tc>
        <w:tc>
          <w:tcPr>
            <w:shd w:val="clear" w:color="auto" w:fill="auto"/>
            <w:tcW w:w="361"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shd w:val="clear" w:color="auto" w:fill="auto"/>
            <w:tcW w:w="362"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48</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default" w:ascii="宋体" w:hAnsi="宋体" w:eastAsia="宋体" w:cs="宋体"/>
                <w:i w:val="0"/>
                <w:iCs w:val="0"/>
                <w:color w:val="auto"/>
                <w:sz w:val="24"/>
                <w:szCs w:val="24"/>
                <w:highlight w:val="none"/>
                <w:u w:val="none"/>
                <w:lang w:val="en-US"/>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开展休闲娱乐活动，提供图书阅览、视听影音、绘画书法、手工制作等小组活动，每月开展活动不少于</w:t>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次</w:t>
            </w:r>
            <w:r>
              <w:rPr>
                <w:rFonts w:hint="eastAsia" w:ascii="宋体" w:hAnsi="宋体" w:cs="宋体"/>
                <w:i w:val="0"/>
                <w:iCs w:val="0"/>
                <w:color w:val="auto"/>
                <w:sz w:val="22"/>
                <w:szCs w:val="22"/>
                <w:highlight w:val="none"/>
                <w:u w:val="none"/>
                <w:lang w:val="en-US" w:eastAsia="zh-CN" w:bidi="ar"/>
              </w:rPr>
              <w:t xml:space="preserve">，全年开展不少于</w:t>
            </w:r>
            <w:r>
              <w:rPr>
                <w:rFonts w:hint="eastAsia" w:ascii="宋体" w:hAnsi="宋体" w:eastAsia="宋体" w:cs="宋体"/>
                <w:i w:val="0"/>
                <w:iCs w:val="0"/>
                <w:color w:val="auto"/>
                <w:sz w:val="22"/>
                <w:szCs w:val="22"/>
                <w:highlight w:val="none"/>
                <w:u w:val="none"/>
                <w:lang w:val="en-US" w:eastAsia="zh-CN" w:bidi="ar"/>
              </w:rPr>
              <w:t xml:space="preserve">5种类别</w:t>
            </w:r>
            <w:r>
              <w:rPr>
                <w:rFonts w:hint="eastAsia" w:ascii="宋体" w:hAnsi="宋体" w:cs="宋体"/>
                <w:i w:val="0"/>
                <w:iCs w:val="0"/>
                <w:color w:val="auto"/>
                <w:sz w:val="22"/>
                <w:szCs w:val="22"/>
                <w:highlight w:val="none"/>
                <w:u w:val="none"/>
                <w:lang w:val="en-US" w:eastAsia="zh-CN" w:bidi="ar"/>
              </w:rPr>
              <w:t xml:space="preserve">。</w:t>
            </w:r>
            <w:r/>
          </w:p>
        </w:tc>
      </w:tr>
      <w:tr>
        <w:trPr>
          <w:trHeight w:val="1240"/>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志愿者团队   （培育及活动）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组建不少于15人的志愿者服务队伍</w:t>
            </w:r>
            <w:r>
              <w:rPr>
                <w:rFonts w:hint="eastAsia" w:ascii="宋体" w:hAnsi="宋体" w:cs="宋体"/>
                <w:i w:val="0"/>
                <w:iCs w:val="0"/>
                <w:color w:val="auto"/>
                <w:sz w:val="22"/>
                <w:szCs w:val="22"/>
                <w:highlight w:val="none"/>
                <w:u w:val="none"/>
                <w:lang w:val="en-US" w:eastAsia="zh-CN" w:bidi="ar"/>
              </w:rPr>
              <w:t xml:space="preserve">，开展空巢独居、困难老年慰问，每月开展一次志愿者团队活动。</w:t>
            </w:r>
            <w:r>
              <w:rPr>
                <w:rFonts w:hint="eastAsia" w:ascii="宋体" w:hAnsi="宋体" w:eastAsia="宋体" w:cs="宋体"/>
                <w:i w:val="0"/>
                <w:iCs w:val="0"/>
                <w:color w:val="auto"/>
                <w:sz w:val="22"/>
                <w:szCs w:val="22"/>
                <w:highlight w:val="none"/>
                <w:u w:val="none"/>
                <w:lang w:val="en-US" w:eastAsia="zh-CN" w:bidi="ar"/>
              </w:rPr>
              <w:t xml:space="preserve"> </w:t>
            </w:r>
            <w:r/>
          </w:p>
        </w:tc>
      </w:tr>
      <w:tr>
        <w:trPr>
          <w:trHeight w:val="2824"/>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健康管理活动</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numPr>
                <w:ilvl w:val="0"/>
                <w:numId w:val="0"/>
              </w:numPr>
              <w:jc w:val="left"/>
              <w:keepLines w:val="0"/>
              <w:keepNext w:val="0"/>
              <w:widowControl/>
              <w:rPr>
                <w:rFonts w:hint="eastAsia"/>
                <w:color w:val="auto"/>
                <w:highlight w:val="none"/>
              </w:rPr>
              <w:suppressLineNumbers w:val="0"/>
            </w:pPr>
            <w:r>
              <w:rPr>
                <w:rFonts w:hint="eastAsia" w:ascii="宋体" w:hAnsi="宋体" w:cs="宋体"/>
                <w:i w:val="0"/>
                <w:iCs w:val="0"/>
                <w:color w:val="auto"/>
                <w:sz w:val="22"/>
                <w:szCs w:val="22"/>
                <w:highlight w:val="none"/>
                <w:u w:val="none"/>
                <w:lang w:val="en-US" w:eastAsia="zh-CN" w:bidi="ar"/>
              </w:rPr>
              <w:t xml:space="preserve">1、</w:t>
            </w:r>
            <w:r>
              <w:rPr>
                <w:rFonts w:hint="eastAsia" w:ascii="宋体" w:hAnsi="宋体" w:eastAsia="宋体" w:cs="宋体"/>
                <w:i w:val="0"/>
                <w:iCs w:val="0"/>
                <w:color w:val="auto"/>
                <w:sz w:val="22"/>
                <w:szCs w:val="22"/>
                <w:highlight w:val="none"/>
                <w:u w:val="none"/>
                <w:lang w:val="en-US" w:eastAsia="zh-CN" w:bidi="ar"/>
              </w:rPr>
              <w:t xml:space="preserve">引入专业力量开展拔罐、针灸、推拿等中医特色康复理疗服务；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与医疗机构合作，开展基础医疗、护理服务；</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cs="宋体"/>
                <w:i w:val="0"/>
                <w:iCs w:val="0"/>
                <w:color w:val="auto"/>
                <w:sz w:val="22"/>
                <w:szCs w:val="22"/>
                <w:highlight w:val="none"/>
                <w:u w:val="none"/>
                <w:lang w:val="en-US" w:eastAsia="zh-CN" w:bidi="ar"/>
              </w:rPr>
              <w:t xml:space="preserve">2、</w:t>
            </w:r>
            <w:r>
              <w:rPr>
                <w:rFonts w:hint="eastAsia" w:ascii="宋体" w:hAnsi="宋体" w:eastAsia="宋体" w:cs="宋体"/>
                <w:i w:val="0"/>
                <w:iCs w:val="0"/>
                <w:color w:val="auto"/>
                <w:sz w:val="22"/>
                <w:szCs w:val="22"/>
                <w:highlight w:val="none"/>
                <w:u w:val="none"/>
                <w:lang w:val="en-US" w:eastAsia="zh-CN" w:bidi="ar"/>
              </w:rPr>
              <w:t xml:space="preserve">开展量血压、测血糖等基本医疗卫生服务，专业人士指导老人进行适宜运动</w:t>
            </w:r>
            <w:r>
              <w:rPr>
                <w:rFonts w:hint="eastAsia" w:ascii="宋体" w:hAnsi="宋体" w:cs="宋体"/>
                <w:i w:val="0"/>
                <w:iCs w:val="0"/>
                <w:color w:val="auto"/>
                <w:sz w:val="22"/>
                <w:szCs w:val="22"/>
                <w:highlight w:val="none"/>
                <w:u w:val="none"/>
                <w:lang w:val="en-US" w:eastAsia="zh-CN" w:bidi="ar"/>
              </w:rPr>
              <w:t xml:space="preserve">、膳食营养。</w:t>
            </w:r>
            <w:r/>
          </w:p>
          <w:p>
            <w:pPr>
              <w:numPr>
                <w:ilvl w:val="0"/>
                <w:numId w:val="0"/>
              </w:numPr>
              <w:ind w:left="0" w:firstLine="0"/>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cs="宋体"/>
                <w:i w:val="0"/>
                <w:iCs w:val="0"/>
                <w:color w:val="auto"/>
                <w:sz w:val="22"/>
                <w:szCs w:val="22"/>
                <w:highlight w:val="none"/>
                <w:u w:val="none"/>
                <w:lang w:val="en-US" w:eastAsia="zh-CN" w:bidi="ar"/>
              </w:rPr>
              <w:t xml:space="preserve">每月开展一次健康管理活动。</w:t>
            </w:r>
            <w:r/>
          </w:p>
        </w:tc>
      </w:tr>
      <w:tr>
        <w:trPr>
          <w:trHeight w:val="879"/>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心理慰藉</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提供包括但不限于情绪疏导、心理咨询、危机干预</w:t>
            </w:r>
            <w:r>
              <w:rPr>
                <w:rFonts w:hint="eastAsia" w:ascii="宋体" w:hAnsi="宋体" w:cs="宋体"/>
                <w:i w:val="0"/>
                <w:iCs w:val="0"/>
                <w:color w:val="auto"/>
                <w:sz w:val="22"/>
                <w:szCs w:val="22"/>
                <w:highlight w:val="none"/>
                <w:u w:val="none"/>
                <w:lang w:val="en-US" w:eastAsia="zh-CN" w:bidi="ar"/>
              </w:rPr>
              <w:t xml:space="preserve">、心理赋能</w:t>
            </w:r>
            <w:r>
              <w:rPr>
                <w:rFonts w:hint="eastAsia" w:ascii="宋体" w:hAnsi="宋体" w:eastAsia="宋体" w:cs="宋体"/>
                <w:i w:val="0"/>
                <w:iCs w:val="0"/>
                <w:color w:val="auto"/>
                <w:sz w:val="22"/>
                <w:szCs w:val="22"/>
                <w:highlight w:val="none"/>
                <w:u w:val="none"/>
                <w:lang w:val="en-US" w:eastAsia="zh-CN" w:bidi="ar"/>
              </w:rPr>
              <w:t xml:space="preserve">等心理类服务</w:t>
            </w:r>
            <w:r>
              <w:rPr>
                <w:rFonts w:hint="eastAsia" w:ascii="宋体" w:hAnsi="宋体" w:cs="宋体"/>
                <w:i w:val="0"/>
                <w:iCs w:val="0"/>
                <w:color w:val="auto"/>
                <w:sz w:val="22"/>
                <w:szCs w:val="22"/>
                <w:highlight w:val="none"/>
                <w:u w:val="none"/>
                <w:lang w:val="en-US" w:eastAsia="zh-CN" w:bidi="ar"/>
              </w:rPr>
              <w:t xml:space="preserve">，每两月开展一次。</w:t>
            </w:r>
            <w:r/>
          </w:p>
        </w:tc>
      </w:tr>
      <w:tr>
        <w:trPr>
          <w:trHeight w:val="1017"/>
        </w:trPr>
        <w:tc>
          <w:tcPr>
            <w:shd w:val="clear" w:color="auto" w:fill="ffffff"/>
            <w:tcW w:w="585" w:type="pct"/>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便民</w:t>
            </w:r>
            <w:r>
              <w:rPr>
                <w:rFonts w:hint="eastAsia" w:ascii="宋体" w:hAnsi="宋体" w:eastAsia="宋体" w:cs="宋体"/>
                <w:i w:val="0"/>
                <w:iCs w:val="0"/>
                <w:color w:val="auto"/>
                <w:sz w:val="24"/>
                <w:szCs w:val="24"/>
                <w:highlight w:val="none"/>
                <w:u w:val="none"/>
                <w:lang w:val="en-US" w:eastAsia="zh-CN" w:bidi="ar"/>
              </w:rPr>
              <w:t xml:space="preserve">咨询</w:t>
            </w:r>
            <w:r/>
          </w:p>
        </w:tc>
        <w:tc>
          <w:tcPr>
            <w:shd w:val="clear" w:color="auto" w:fill="auto"/>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W w:w="45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W w:w="2072"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Theme="minorEastAsia" w:hAnsiTheme="minorEastAsia" w:eastAsiaTheme="minorEastAsia" w:cstheme="minorEastAsia"/>
                <w:color w:val="auto"/>
                <w:sz w:val="22"/>
                <w:highlight w:val="none"/>
                <w:lang w:bidi="ar"/>
              </w:rPr>
              <w:t xml:space="preserve">理发、修理小家电、健康咨询、法律咨询等</w:t>
            </w:r>
            <w:r>
              <w:rPr>
                <w:rFonts w:hint="eastAsia" w:asciiTheme="minorEastAsia" w:hAnsiTheme="minorEastAsia" w:eastAsiaTheme="minorEastAsia" w:cstheme="minorEastAsia"/>
                <w:color w:val="auto"/>
                <w:sz w:val="22"/>
                <w:highlight w:val="none"/>
                <w:lang w:eastAsia="zh-CN" w:bidi="ar"/>
              </w:rPr>
              <w:t xml:space="preserve">，每两月开展一次</w:t>
            </w:r>
            <w:r>
              <w:rPr>
                <w:rFonts w:hint="eastAsia" w:asciiTheme="minorEastAsia" w:hAnsiTheme="minorEastAsia" w:eastAsiaTheme="minorEastAsia" w:cstheme="minorEastAsia"/>
                <w:color w:val="auto"/>
                <w:sz w:val="22"/>
                <w:highlight w:val="none"/>
                <w:lang w:bidi="ar"/>
              </w:rPr>
              <w:t xml:space="preserve">。</w:t>
            </w:r>
            <w:r/>
          </w:p>
        </w:tc>
      </w:tr>
      <w:tr>
        <w:trPr>
          <w:trHeight w:val="632"/>
        </w:trPr>
        <w:tc>
          <w:tcPr>
            <w:gridSpan w:val="2"/>
            <w:shd w:val="clear" w:color="auto" w:fill="ffffff" w:themeFill="background1"/>
            <w:tcW w:w="1237"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ffffff" w:themeFill="background1"/>
            <w:tcW w:w="361"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72</w:t>
            </w:r>
            <w:r/>
          </w:p>
        </w:tc>
        <w:tc>
          <w:tcPr>
            <w:shd w:val="clear" w:color="auto" w:fill="ffffff" w:themeFill="background1"/>
            <w:tcW w:w="362"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cs="宋体"/>
                <w:i w:val="0"/>
                <w:iCs w:val="0"/>
                <w:color w:val="auto"/>
                <w:sz w:val="24"/>
                <w:szCs w:val="24"/>
                <w:highlight w:val="none"/>
                <w:u w:val="none"/>
                <w:lang w:val="en-US" w:eastAsia="zh-CN" w:bidi="ar"/>
              </w:rPr>
              <w:t xml:space="preserve">168</w:t>
            </w:r>
            <w:r/>
          </w:p>
        </w:tc>
        <w:tc>
          <w:tcPr>
            <w:shd w:val="clear" w:color="auto" w:fill="ffffff" w:themeFill="background1"/>
            <w:tcW w:w="457" w:type="pct"/>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ffffff" w:themeFill="background1"/>
            <w:tcW w:w="50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ffffff" w:themeFill="background1"/>
            <w:tcW w:w="2072" w:type="pct"/>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numPr>
          <w:ilvl w:val="0"/>
          <w:numId w:val="0"/>
        </w:numPr>
        <w:ind w:firstLine="482"/>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numPr>
          <w:ilvl w:val="0"/>
          <w:numId w:val="0"/>
        </w:numPr>
        <w:ind w:firstLine="482"/>
        <w:spacing w:line="360" w:lineRule="auto"/>
        <w:widowControl/>
        <w:rPr>
          <w:rFonts w:hint="eastAsia"/>
          <w:color w:val="auto"/>
          <w:highlight w:val="none"/>
          <w:lang w:eastAsia="zh-CN"/>
        </w:rPr>
      </w:pPr>
      <w:r>
        <w:rPr>
          <w:rFonts w:hint="eastAsia" w:ascii="宋体" w:hAnsi="宋体" w:cs="宋体"/>
          <w:b/>
          <w:bCs/>
          <w:color w:val="auto"/>
          <w:sz w:val="24"/>
          <w:szCs w:val="24"/>
          <w:highlight w:val="none"/>
          <w:lang w:val="en-US" w:eastAsia="zh-CN"/>
        </w:rPr>
        <w:t xml:space="preserve">五、</w:t>
      </w:r>
      <w:r>
        <w:rPr>
          <w:rFonts w:hint="eastAsia" w:cs="楷体" w:asciiTheme="minorEastAsia" w:hAnsiTheme="minorEastAsia" w:eastAsiaTheme="minorEastAsia"/>
          <w:b w:val="0"/>
          <w:bCs w:val="0"/>
          <w:color w:val="auto"/>
          <w:sz w:val="24"/>
          <w:highlight w:val="none"/>
          <w:lang w:val="en-US" w:eastAsia="zh-CN"/>
        </w:rPr>
        <w:t xml:space="preserve">根据《东渚街道社区居家养老服务设施运营考核办法》，考核情况与运营管理费用给付挂钩。</w:t>
      </w:r>
      <w:r/>
    </w:p>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、综合说明及其它要求：</w:t>
      </w:r>
      <w:r/>
    </w:p>
    <w:p>
      <w:pPr>
        <w:ind w:firstLine="480"/>
        <w:spacing w:line="360"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1、报价</w:t>
      </w:r>
      <w:r>
        <w:rPr>
          <w:rFonts w:ascii="宋体" w:hAnsi="宋体" w:cs="宋体"/>
          <w:color w:val="auto"/>
          <w:sz w:val="24"/>
          <w:szCs w:val="24"/>
          <w:highlight w:val="none"/>
        </w:rPr>
        <w:t xml:space="preserve">应</w:t>
      </w:r>
      <w:r>
        <w:rPr>
          <w:rFonts w:hint="eastAsia" w:hAnsi="宋体"/>
          <w:color w:val="auto"/>
          <w:sz w:val="24"/>
          <w:szCs w:val="24"/>
          <w:highlight w:val="none"/>
        </w:rPr>
        <w:t xml:space="preserve">包括完成本项目所需的人员（包括工资和补贴）、</w:t>
      </w:r>
      <w:r>
        <w:rPr>
          <w:rFonts w:hint="eastAsia" w:hAnsi="宋体"/>
          <w:color w:val="auto"/>
          <w:sz w:val="24"/>
          <w:szCs w:val="24"/>
          <w:highlight w:val="none"/>
          <w:lang w:val="en-US" w:eastAsia="zh-CN"/>
        </w:rPr>
        <w:t xml:space="preserve">活动经费、电梯维护经费及其它设施维护费、</w:t>
      </w:r>
      <w:r>
        <w:rPr>
          <w:rFonts w:hint="eastAsia" w:hAnsi="宋体"/>
          <w:color w:val="auto"/>
          <w:sz w:val="24"/>
          <w:szCs w:val="24"/>
          <w:highlight w:val="none"/>
        </w:rPr>
        <w:t xml:space="preserve">办公场所及设施、保险、劳保、管理、各种税费、利润、税金、代理服务费、政策性文件规定及合同包含的所有风险、责任等各项应有费用。</w:t>
      </w:r>
      <w:r>
        <w:rPr>
          <w:rFonts w:hint="eastAsia" w:ascii="宋体" w:hAnsi="宋体" w:cs="宋体"/>
          <w:color w:val="auto"/>
          <w:sz w:val="24"/>
          <w:szCs w:val="24"/>
          <w:highlight w:val="none"/>
        </w:rPr>
        <w:t xml:space="preserve">同时，除非合同条款中另有规定，否则，响应供应商所报价格在合同实施期间不因市场变化因素而变动。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本项目以第二次报价为最终报价，除非因特殊原因并经双方协商同意，响应单位不得再要求追加任何费用。同时，除非合同条款中另有规定，否则，响应单位所报价格在合同实施期间不因市场变化因素而变动,政策性条款例外。</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响应单位必须按照《劳动法》最低工资调整及苏州市的有关规定配置工作人员按月支付工资、节假日加班费，交纳社会保险，不得安排工作人员超时限加班，并根据工作性质购置保险等相关劳动保障措施。</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采购单位与响应单位服务人员不发生任何劳动和雇佣关系，用工人员由成交单位自行管理，响应单位和用工人员应遵守安全操作规章制度，若发生人身伤害等工伤事故，由响应单位自负，与采购单位无关。</w:t>
      </w:r>
      <w:r/>
    </w:p>
    <w:p>
      <w:pPr>
        <w:ind w:firstLine="480"/>
        <w:spacing w:line="360" w:lineRule="auto"/>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w:t>
      </w:r>
      <w:r>
        <w:rPr>
          <w:rFonts w:hint="eastAsia" w:ascii="宋体" w:hAnsi="宋体"/>
          <w:color w:val="auto"/>
          <w:sz w:val="24"/>
          <w:szCs w:val="24"/>
          <w:highlight w:val="none"/>
        </w:rPr>
        <w:t xml:space="preserve">响应单位服务人员的薪金、福利、休假日补贴、医疗费用及其他各种商业保险等均由响应单位负责，与采购单位无关。</w:t>
      </w:r>
      <w:r/>
    </w:p>
    <w:p>
      <w:pPr>
        <w:ind w:firstLine="480"/>
        <w:spacing w:line="360" w:lineRule="auto"/>
        <w:tabs>
          <w:tab w:val="left" w:pos="42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、在合同期内，因成交单位所造成的损失由成交单位按实际金额赔偿。</w:t>
      </w:r>
      <w:r/>
    </w:p>
    <w:p>
      <w:pPr>
        <w:ind w:firstLine="480"/>
        <w:spacing w:line="360" w:lineRule="auto"/>
        <w:tabs>
          <w:tab w:val="left" w:pos="42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、服务地点：采购单位指定地点。</w:t>
      </w:r>
      <w:r/>
    </w:p>
    <w:p>
      <w:pPr>
        <w:ind w:firstLine="482"/>
        <w:spacing w:line="360" w:lineRule="auto"/>
        <w:tabs>
          <w:tab w:val="left" w:pos="42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、政府采购政策：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（一）中小企业相关政策</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ind w:firstLine="480"/>
        <w:spacing w:line="360" w:lineRule="auto"/>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420" w:leader="none"/>
          <w:tab w:val="left" w:pos="1260" w:leader="none"/>
          <w:tab w:val="left" w:pos="1440" w:leader="none"/>
        </w:tabs>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highlight w:val="none"/>
        </w:rPr>
        <w:t xml:space="preserve">本采购标的对应的中小企业划分标准所属行业为：租赁和商务服务业。</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8、残疾人福利性单位</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9、监狱企业</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10、若为专门面向中小企业采购的项目或者采购包，不再执行价格评审优惠的扶持政策。</w:t>
      </w:r>
      <w:r/>
    </w:p>
    <w:p>
      <w:pPr>
        <w:ind w:firstLine="210"/>
        <w:spacing w:line="360" w:lineRule="auto"/>
        <w:tabs>
          <w:tab w:val="left" w:pos="567"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（二）节能产品和环境标志产品（本项目不涉及）</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节能产品、环境标志产品认证证书数量最多的，优先中标（成交）。</w:t>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、凡涉及采购文件的补充说明和修改，均以苏州市政府采购网发布的文件为准。</w:t>
      </w:r>
      <w:r/>
    </w:p>
    <w:p>
      <w:pPr>
        <w:jc w:val="center"/>
        <w:spacing w:line="360" w:lineRule="auto"/>
        <w:tabs>
          <w:tab w:val="left" w:pos="8930" w:leader="none"/>
          <w:tab w:val="left" w:pos="9306" w:leader="none"/>
        </w:tabs>
        <w:rPr>
          <w:rStyle w:val="964"/>
          <w:rFonts w:hint="eastAsia" w:ascii="宋体" w:hAnsi="宋体" w:cs="宋体"/>
          <w:color w:val="auto"/>
          <w:sz w:val="32"/>
          <w:szCs w:val="32"/>
          <w:highlight w:val="none"/>
        </w:rPr>
        <w:outlineLvl w:val="0"/>
      </w:pPr>
      <w:r>
        <w:rPr>
          <w:rFonts w:hint="eastAsia" w:ascii="宋体" w:hAnsi="宋体" w:cs="宋体"/>
          <w:b/>
          <w:bCs/>
          <w:color w:val="auto"/>
          <w:sz w:val="24"/>
          <w:szCs w:val="24"/>
          <w:highlight w:val="none"/>
        </w:rPr>
        <w:br w:type="page" w:clear="all"/>
      </w:r>
      <w:bookmarkStart w:id="28" w:name="_Toc197425372"/>
      <w:r>
        <w:rPr>
          <w:rFonts w:hint="eastAsia" w:ascii="宋体" w:hAnsi="宋体" w:eastAsia="宋体" w:cs="宋体"/>
          <w:b/>
          <w:bCs/>
          <w:color w:val="auto"/>
          <w:sz w:val="32"/>
          <w:szCs w:val="32"/>
          <w:highlight w:val="none"/>
        </w:rPr>
        <w:t xml:space="preserve">第五章  </w:t>
      </w:r>
      <w:r>
        <w:rPr>
          <w:rStyle w:val="964"/>
          <w:rFonts w:hint="eastAsia" w:ascii="宋体" w:hAnsi="宋体" w:eastAsia="宋体" w:cs="宋体"/>
          <w:color w:val="auto"/>
          <w:sz w:val="32"/>
          <w:szCs w:val="32"/>
          <w:highlight w:val="none"/>
        </w:rPr>
        <w:t xml:space="preserve">合同主要条款</w:t>
      </w:r>
      <w:bookmarkEnd w:id="28"/>
      <w:r/>
      <w:r/>
    </w:p>
    <w:p>
      <w:pPr>
        <w:jc w:val="center"/>
        <w:spacing w:line="360" w:lineRule="auto"/>
        <w:rPr>
          <w:rFonts w:hint="eastAsia" w:ascii="宋体" w:hAnsi="宋体" w:cs="宋体"/>
          <w:b/>
          <w:color w:val="auto"/>
          <w:sz w:val="24"/>
          <w:szCs w:val="32"/>
          <w:highlight w:val="none"/>
        </w:rPr>
      </w:pPr>
      <w:r>
        <w:rPr>
          <w:rFonts w:hint="eastAsia" w:ascii="宋体" w:hAnsi="宋体" w:cs="宋体"/>
          <w:b/>
          <w:color w:val="auto"/>
          <w:sz w:val="24"/>
          <w:szCs w:val="32"/>
          <w:highlight w:val="none"/>
        </w:rPr>
      </w:r>
      <w:r/>
    </w:p>
    <w:p>
      <w:pPr>
        <w:spacing w:line="360" w:lineRule="auto"/>
        <w:rPr>
          <w:rFonts w:ascii="宋体" w:hAnsi="宋体"/>
          <w:b/>
          <w:color w:val="auto"/>
          <w:sz w:val="24"/>
          <w:szCs w:val="24"/>
          <w:highlight w:val="none"/>
        </w:rPr>
      </w:pPr>
      <w:r/>
      <w:bookmarkStart w:id="29" w:name="_Toc197425373"/>
      <w:r>
        <w:rPr>
          <w:rFonts w:hint="eastAsia" w:ascii="宋体" w:hAnsi="宋体"/>
          <w:b/>
          <w:color w:val="auto"/>
          <w:sz w:val="24"/>
          <w:szCs w:val="24"/>
          <w:highlight w:val="none"/>
        </w:rPr>
        <w:t xml:space="preserve">甲方</w:t>
      </w:r>
      <w:r>
        <w:rPr>
          <w:rFonts w:ascii="宋体" w:hAnsi="宋体"/>
          <w:b/>
          <w:color w:val="auto"/>
          <w:sz w:val="24"/>
          <w:szCs w:val="24"/>
          <w:highlight w:val="none"/>
        </w:rPr>
        <w:t xml:space="preserve">（以下简称甲方）：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电话：</w:t>
      </w:r>
      <w:r/>
    </w:p>
    <w:p>
      <w:pP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乙方</w:t>
      </w:r>
      <w:r>
        <w:rPr>
          <w:rFonts w:ascii="宋体" w:hAnsi="宋体"/>
          <w:b/>
          <w:color w:val="auto"/>
          <w:sz w:val="24"/>
          <w:szCs w:val="24"/>
          <w:highlight w:val="none"/>
        </w:rPr>
        <w:t xml:space="preserve">（以下简称乙方）：</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联系人：</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电话：</w:t>
      </w:r>
      <w:r/>
    </w:p>
    <w:p>
      <w:pPr>
        <w:ind w:firstLine="240"/>
        <w:rPr>
          <w:rFonts w:hAnsi="宋体" w:eastAsia="宋体"/>
          <w:color w:val="auto"/>
          <w:sz w:val="24"/>
          <w:szCs w:val="24"/>
          <w:highlight w:val="none"/>
        </w:rPr>
      </w:pPr>
      <w:r>
        <w:rPr>
          <w:rFonts w:hAnsi="宋体" w:eastAsia="宋体"/>
          <w:color w:val="auto"/>
          <w:sz w:val="24"/>
          <w:szCs w:val="24"/>
          <w:highlight w:val="none"/>
          <w:lang w:eastAsia="zh-CN"/>
        </w:rPr>
        <w:t xml:space="preserve">根据苏州市政府采购编号</w:t>
      </w: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lang w:eastAsia="zh-CN"/>
        </w:rPr>
        <w:t xml:space="preserve">采购</w:t>
      </w:r>
      <w:r>
        <w:rPr>
          <w:rFonts w:hAnsi="宋体" w:eastAsia="宋体"/>
          <w:color w:val="auto"/>
          <w:sz w:val="24"/>
          <w:szCs w:val="24"/>
          <w:highlight w:val="none"/>
          <w:lang w:eastAsia="zh-CN"/>
        </w:rPr>
        <w:t xml:space="preserve">文件、</w:t>
      </w:r>
      <w:r>
        <w:rPr>
          <w:rFonts w:hint="eastAsia" w:hAnsi="宋体" w:eastAsia="宋体"/>
          <w:color w:val="auto"/>
          <w:sz w:val="24"/>
          <w:szCs w:val="24"/>
          <w:highlight w:val="none"/>
          <w:lang w:eastAsia="zh-CN"/>
        </w:rPr>
        <w:t xml:space="preserve">乙方</w:t>
      </w:r>
      <w:r>
        <w:rPr>
          <w:rFonts w:hAnsi="宋体" w:eastAsia="宋体"/>
          <w:color w:val="auto"/>
          <w:sz w:val="24"/>
          <w:szCs w:val="24"/>
          <w:highlight w:val="none"/>
          <w:lang w:eastAsia="zh-CN"/>
        </w:rPr>
        <w:t xml:space="preserve">的响应文件和成交通知，</w:t>
      </w:r>
      <w:r>
        <w:rPr>
          <w:rFonts w:hint="eastAsia" w:hAnsi="宋体" w:eastAsia="宋体"/>
          <w:color w:val="auto"/>
          <w:sz w:val="24"/>
          <w:szCs w:val="24"/>
          <w:highlight w:val="none"/>
          <w:lang w:eastAsia="zh-CN"/>
        </w:rPr>
        <w:t xml:space="preserve">甲乙</w:t>
      </w:r>
      <w:r>
        <w:rPr>
          <w:rFonts w:hAnsi="宋体" w:eastAsia="宋体"/>
          <w:color w:val="auto"/>
          <w:sz w:val="24"/>
          <w:szCs w:val="24"/>
          <w:highlight w:val="none"/>
          <w:lang w:eastAsia="zh-CN"/>
        </w:rPr>
        <w:t xml:space="preserve">双方就此次成交的</w:t>
      </w:r>
      <w:r>
        <w:rPr>
          <w:rFonts w:ascii="宋体" w:hAnsi="宋体" w:eastAsia="宋体"/>
          <w:color w:val="auto"/>
          <w:sz w:val="24"/>
          <w:szCs w:val="24"/>
          <w:highlight w:val="none"/>
          <w:lang w:eastAsia="zh-CN"/>
        </w:rPr>
        <w:t xml:space="preserve">“</w:t>
      </w:r>
      <w:r>
        <w:rPr>
          <w:rFonts w:hint="default" w:ascii="宋体" w:hAnsi="宋体" w:eastAsia="宋体"/>
          <w:color w:val="auto"/>
          <w:sz w:val="24"/>
          <w:szCs w:val="24"/>
          <w:highlight w:val="none"/>
          <w:lang w:val="en-US" w:eastAsia="zh-CN"/>
        </w:rPr>
        <w:t xml:space="preserve"> </w:t>
      </w:r>
      <w:r>
        <w:rPr>
          <w:rFonts w:hint="default" w:ascii="宋体" w:hAnsi="宋体" w:cs="Times New Roman"/>
          <w:b w:val="0"/>
          <w:color w:val="auto"/>
          <w:sz w:val="24"/>
          <w:szCs w:val="24"/>
          <w:highlight w:val="none"/>
          <w:lang w:eastAsia="zh-CN"/>
        </w:rPr>
        <w:t xml:space="preserve">东渚街道2026-2028年度社区居家养老服务设施社会化运营 </w:t>
      </w:r>
      <w:r>
        <w:rPr>
          <w:rFonts w:hAnsi="宋体" w:eastAsia="宋体"/>
          <w:color w:val="auto"/>
          <w:sz w:val="24"/>
          <w:szCs w:val="24"/>
          <w:highlight w:val="none"/>
          <w:lang w:eastAsia="zh-CN"/>
        </w:rPr>
        <w:t xml:space="preserve">”项目的购销事宜，签订本合同书。</w:t>
      </w:r>
      <w:r/>
    </w:p>
    <w:p>
      <w:pPr>
        <w:spacing w:line="360" w:lineRule="auto"/>
        <w:rPr>
          <w:rFonts w:hint="eastAsia" w:ascii="宋体" w:hAnsi="宋体" w:cs="宋体"/>
          <w:b/>
          <w:bCs/>
          <w:color w:val="auto"/>
          <w:sz w:val="24"/>
          <w:szCs w:val="24"/>
          <w:highlight w:val="none"/>
          <w:lang w:eastAsia="zh-CN"/>
        </w:rPr>
      </w:pPr>
      <w:r>
        <w:rPr>
          <w:rFonts w:hint="eastAsia" w:hAnsi="宋体" w:eastAsia="宋体"/>
          <w:b/>
          <w:color w:val="auto"/>
          <w:sz w:val="24"/>
          <w:szCs w:val="24"/>
          <w:highlight w:val="none"/>
          <w:lang w:eastAsia="zh-CN"/>
        </w:rPr>
        <w:t xml:space="preserve">一、采购内容</w:t>
      </w:r>
      <w:r>
        <w:rPr>
          <w:rFonts w:hint="eastAsia" w:hAnsi="宋体" w:eastAsia="宋体" w:cs="宋体"/>
          <w:b/>
          <w:color w:val="auto"/>
          <w:sz w:val="24"/>
          <w:szCs w:val="24"/>
          <w:highlight w:val="none"/>
          <w:lang w:eastAsia="zh-CN"/>
        </w:rPr>
        <w:t xml:space="preserve">：</w:t>
      </w:r>
      <w:r>
        <w:rPr>
          <w:rFonts w:hint="eastAsia" w:hAnsi="宋体" w:eastAsia="宋体" w:cs="宋体"/>
          <w:b/>
          <w:color w:val="auto"/>
          <w:sz w:val="24"/>
          <w:szCs w:val="24"/>
          <w:highlight w:val="none"/>
          <w:lang w:val="en-US" w:eastAsia="zh-CN"/>
        </w:rPr>
        <w:t xml:space="preserve"> </w:t>
      </w:r>
      <w:r>
        <w:rPr>
          <w:rFonts w:hint="eastAsia" w:ascii="宋体" w:hAnsi="宋体" w:cs="宋体"/>
          <w:b/>
          <w:bCs/>
          <w:color w:val="auto"/>
          <w:sz w:val="24"/>
          <w:szCs w:val="24"/>
          <w:highlight w:val="none"/>
          <w:lang w:eastAsia="zh-CN"/>
        </w:rPr>
        <w:t xml:space="preserve">东渚街道2026-2028年度社区居家养老服务设施社会化运营 </w:t>
      </w:r>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二、合同金额：</w:t>
      </w:r>
      <w:r/>
    </w:p>
    <w:p>
      <w:pPr>
        <w:ind w:firstLine="42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总服务经费：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2、考核办法及费用结算：</w:t>
      </w:r>
      <w:r/>
    </w:p>
    <w:p>
      <w:pPr>
        <w:ind w:firstLine="420"/>
        <w:spacing w:line="360" w:lineRule="auto"/>
        <w:rPr>
          <w:rFonts w:hint="eastAsia" w:ascii="宋体" w:hAnsi="宋体"/>
          <w:color w:val="auto"/>
          <w:sz w:val="24"/>
          <w:szCs w:val="24"/>
          <w:highlight w:val="none"/>
          <w:u w:val="none"/>
          <w:lang w:eastAsia="zh-CN"/>
        </w:rPr>
      </w:pPr>
      <w:r>
        <w:rPr>
          <w:rFonts w:hint="eastAsia" w:ascii="宋体" w:hAnsi="宋体"/>
          <w:color w:val="auto"/>
          <w:sz w:val="24"/>
          <w:szCs w:val="24"/>
          <w:highlight w:val="none"/>
          <w:u w:val="none"/>
          <w:lang w:val="en-US" w:eastAsia="zh-CN"/>
        </w:rPr>
        <w:t xml:space="preserve">（1）甲方根据《东渚街道社区居家养老服务设施运营考核办法》对乙方运营情况进行考核，考核情况与运营管理费用给付挂钩。</w:t>
      </w:r>
      <w:r/>
    </w:p>
    <w:p>
      <w:pPr>
        <w:ind w:firstLine="420"/>
        <w:spacing w:line="360" w:lineRule="auto"/>
        <w:rPr>
          <w:rFonts w:hint="eastAsia" w:ascii="宋体" w:hAnsi="宋体" w:eastAsia="宋体" w:cs="Times New Roman"/>
          <w:color w:val="auto"/>
          <w:sz w:val="24"/>
          <w:szCs w:val="24"/>
          <w:highlight w:val="none"/>
          <w:u w:val="none"/>
          <w:lang w:val="en-US" w:eastAsia="zh-CN"/>
        </w:rPr>
      </w:pPr>
      <w:r>
        <w:rPr>
          <w:rFonts w:hint="eastAsia" w:ascii="宋体" w:hAnsi="宋体" w:cs="Times New Roman"/>
          <w:color w:val="auto"/>
          <w:sz w:val="24"/>
          <w:szCs w:val="24"/>
          <w:highlight w:val="none"/>
          <w:u w:val="none"/>
          <w:lang w:val="en-US" w:eastAsia="zh-CN"/>
        </w:rPr>
        <w:t xml:space="preserve">（2）</w:t>
      </w:r>
      <w:r>
        <w:rPr>
          <w:rFonts w:hint="eastAsia" w:ascii="宋体" w:hAnsi="宋体" w:eastAsia="宋体" w:cs="Times New Roman"/>
          <w:color w:val="auto"/>
          <w:sz w:val="24"/>
          <w:szCs w:val="24"/>
          <w:highlight w:val="none"/>
          <w:u w:val="none"/>
          <w:lang w:val="en-US" w:eastAsia="zh-CN"/>
        </w:rPr>
        <w:t xml:space="preserve">该项目支付预付款金额为合同金额的10%，在首季度考核完毕付款时全额扣回预付款，不足扣回部分在次季度考核完毕付款时扣回。（在签订合同时，乙方明确表示无需预付款或者主动要求降低预付款比例的，甲方可不适用支付预付款10%规定）。每三个月支付一次，采购单位在每服务满三个月后的15日内根据考核情况支付服务款。</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三、权利与义务：</w:t>
      </w:r>
      <w:r/>
    </w:p>
    <w:p>
      <w:pPr>
        <w:numPr>
          <w:ilvl w:val="1"/>
          <w:numId w:val="7"/>
        </w:numPr>
        <w:ind w:left="0" w:firstLine="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甲方的权利和义务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对乙方的管理实施监督检查，每月进行一次考核评定，如因乙方的管理不善，造成重大经济损失或管理失误，甲方有权终止协议。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协议生效之日起七个工作日内，按规定向乙方提供本中心所有的设施设备管理档案及其他资料，并在乙方管理期满时予以收回。中心内设施设备移交完毕后，在使用过程中需维修、更换所产生的费用均由乙方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有权随时查阅或调用中心设施设备管理档案及其他资料。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负责处理非乙方原因而产生的各种纠纷。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协助乙方做好宣传工作。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乙方在开展中心外的为老活动时，经甲方审批后，乙方可无偿使用除中心外的活动场所，但在活动过程中如有设施、物品的损坏（耗），需由乙方承担相应维修（护）费用。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配合乙方做好服务范围内老人信息的交接工作，确保项目服务工作的顺利开展。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指导和监督乙方有效地履行本协议的各项条款。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）负责指导、监督乙方的养老服务工作，每季度定期组织人员对乙方进行考核。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）乙方须使用自有运营软件系统，但该运营软件使用前须征得甲方同意。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）法规政策规定由甲方承担的其他责任。</w:t>
      </w:r>
      <w:r/>
    </w:p>
    <w:p>
      <w:pPr>
        <w:numPr>
          <w:ilvl w:val="1"/>
          <w:numId w:val="7"/>
        </w:numPr>
        <w:ind w:left="0" w:firstLine="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乙方的权利和义</w:t>
      </w:r>
      <w:r>
        <w:rPr>
          <w:rFonts w:hint="eastAsia" w:ascii="宋体" w:hAnsi="宋体" w:eastAsia="宋体" w:cs="宋体"/>
          <w:b/>
          <w:bCs/>
          <w:color w:val="auto"/>
          <w:sz w:val="24"/>
          <w:szCs w:val="24"/>
          <w:highlight w:val="none"/>
          <w:lang w:eastAsia="zh-CN"/>
        </w:rPr>
        <w:t xml:space="preserve">务</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心派驻全职工作人员负责管理日间照料中心事务并提供各项为老服务项目，团队应具备有效的执行能力，协作组织能力强，能独立运用人力资源及设备物资，且能开展团队管理服务工作。做好助餐、护理等专项服务和其它日常服务和活动。</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结合实际情况，</w:t>
      </w:r>
      <w:r>
        <w:rPr>
          <w:rFonts w:hint="eastAsia" w:ascii="宋体" w:hAnsi="宋体" w:eastAsia="宋体" w:cs="宋体"/>
          <w:bCs/>
          <w:color w:val="auto"/>
          <w:sz w:val="24"/>
          <w:szCs w:val="24"/>
          <w:highlight w:val="none"/>
        </w:rPr>
        <w:t xml:space="preserve">每年至少打造1项特色养老服务品牌</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日常向老人提供的食品必须符合卫生要求，并做好食品的保鲜，每日饭菜做好留样处理。若因乙方提供不符合卫生要求饭菜造成甲方中心内助餐老人食物中毒，则乙方必须承担全部的法律和经济责任，甲方有权终止协议，并赔偿甲方的经济损失。</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乙方必须做好配餐中心卫生工作，严格执行“食品卫生安全管理规定”，强化食堂工作人员的卫生安全教育。</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在中心就餐的老人与乙方签订日间照料中心就餐协议并执行相关规章制度。每月向甲方提交月度报告及相关数据（包括就餐、用餐人员信息），接受甲方的监督和检查。</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根据有关法律、法规政策及本协议的规定，与甲方协商共同制订中心的各项管理办法、规章制度、实施细则，自主开展各项服务活动，但不得损害大多数入住中心老人的合法权益，获取不当利益。</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乙方或乙方委托第三方在中心外的社区开展服务或活动，需与甲方沟通，经甲方同意后方可实施。</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有权选聘第三方承担本中心的专项服务业务并支付费用、但不得将整体服务责任及利益转让给其他个人或单位，不得将重要专项业务承包给个人或单位。</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接受主管部门及有关政府部门的监督、指导，并接受甲方和中心老人的监督。</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对中心的设施设备不得擅自占用和改变使用功能，如需在本中心内改扩建完善配套项目，须报甲方和有关部门批准后方可实施。</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负责中心内设施设备及办公设备的日常维修及保养，并承担相应费用；大宗设备设施的更换及增加，由乙方提出，甲、乙双方视实际情况协商解决。</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管理中心设施设备管理档案及其他资料并负责及时记载有关变更情况。</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本协议终止时，乙方必须向甲方移交原委托管理的设施设备管理档案及其他资料（中心规章制度、管理日志、已入住中心老人的协议及资料等），移交本中心的设施设备，包括甲方提供的一切设备。</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保证老人在中心内以及乙方或乙方委托第三方开展活动时的人身安全（不包括老人来回中心或参加活动的路途中的人身安全）。</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不承担对来中心老人的人身、财产保管的保险义务（另有专门合同规定除外）。</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乙方可根据老人实际需求提供收费服务，但需符合相关法律法规，价格合理，并报甲方或有关业务部门备案同意后实施。</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对服务人员进行上岗培训和技能培训，合格上。</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配合甲方做好政府部门领导的参观、视察、学习工作。</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配合甲方做好中心相关宣传以外的社区其他宣传、检查工作。</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违约责任</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甲方违约责任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（1）在合同生效后，甲方要求解除合同的，应向乙方偿付合同总价款1%的违约金，违约金不足以补偿损失的，乙方有权要求甲方补足。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（2）如因甲方原因，造成乙方未完成规定管理目标或直接造成乙方经济损失的，甲方应给予乙方相应补偿；乙方有权要求甲方限期整改，并有权终止协议。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（3）因甲方向乙方提供中心房屋建筑或设施设备质量或安装技术等原因，造成重大事故的，由甲方承担责任并负责善后处理。</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乙方违约责任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（1）乙方不能履行合同从而影响甲方按期实施的，甲方有权解除合同，乙方向甲方偿付采购预算价1%的违约金，违约金不足以补偿损失的甲方有权要求乙方补足。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本项目服务人员均要求雇员制聘用。中标后，乙方需在本项目服务期开始的当月为所有本项目服务人员签订劳动合同并缴纳社保，并于服务期的下一个月向甲方提供所有本项目服务人员上月的社保证明原件（并提供身份证复印件及社保编号），如不能提供，则甲方有权终止合同，同时没收乙方的履约保证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（3）如因乙方原因，造成不能完成管理目标或直接造成甲方经济损失的，乙方应给予甲方相应补偿;甲方有权要求乙方限期整改，并有权终止协议。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（4）因乙方管理不善或操作不当等原因造成重大事故的，由乙方承担责任并负责善后处理（产生事故的直接原因，以政府有关部门的鉴定结论为准）。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（5）本项目不接受联合投标，并不得分包或转包。一经发现，甲方有权终止合同，同时没收乙方的履约保证金。</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不可抗力</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因不可抗力不能履行合同的，根据不可抗力的影响，部分或者全部免除责任。但合同一方延迟履行后发生不可抗力的，不能免除责任。</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合同一方因不可抗力不能履行合同的，应当及时通知对方，以减轻可能给对方造成的损失，并应当在合理期限内提供证明。</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合同修改</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转让和分包</w:t>
      </w:r>
      <w:r/>
    </w:p>
    <w:p>
      <w:pPr>
        <w:numPr>
          <w:ilvl w:val="1"/>
          <w:numId w:val="8"/>
        </w:numPr>
        <w:ind w:left="0" w:firstLine="480"/>
        <w:keepLines w:val="0"/>
        <w:keepNext w:val="0"/>
        <w:pageBreakBefore w:val="0"/>
        <w:spacing w:line="360" w:lineRule="auto"/>
        <w:tabs>
          <w:tab w:val="clear"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本合同权利和义务全部不得转让。</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合同的解除</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有下列情形之一，合同一方可以解除合同：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争议解决办法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因本合同或与本合同有关的一切事项发生争议，由双方友好协商解决。协商不成的，任何一方均可向甲方所在地的人民法院起诉。</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合同生效及其他</w:t>
      </w:r>
      <w:r/>
    </w:p>
    <w:p>
      <w:pPr>
        <w:ind w:left="48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本合同经双方签字并盖公章后生效，同时须经政府采购监督管理部门备案。</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十一、</w:t>
      </w:r>
      <w:r>
        <w:rPr>
          <w:rFonts w:hint="eastAsia" w:ascii="宋体" w:hAnsi="宋体" w:eastAsia="宋体" w:cs="宋体"/>
          <w:b/>
          <w:color w:val="auto"/>
          <w:sz w:val="24"/>
          <w:szCs w:val="24"/>
          <w:highlight w:val="none"/>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未尽事宜应按照《中华人民共和国合同法》、《中华人民共和国政府采购法》等相关法律法规之规定解释。</w:t>
      </w:r>
      <w:r/>
    </w:p>
    <w:p>
      <w:pPr>
        <w:numPr>
          <w:ilvl w:val="0"/>
          <w:numId w:val="0"/>
        </w:num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十二、</w:t>
      </w:r>
      <w:r>
        <w:rPr>
          <w:rFonts w:hint="eastAsia" w:ascii="宋体" w:hAnsi="宋体" w:eastAsia="宋体" w:cs="宋体"/>
          <w:b/>
          <w:color w:val="auto"/>
          <w:sz w:val="24"/>
          <w:szCs w:val="24"/>
          <w:highlight w:val="none"/>
        </w:rPr>
        <w:t xml:space="preserve">附则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份，甲、乙方各执</w:t>
      </w:r>
      <w:r>
        <w:rPr>
          <w:rFonts w:hint="eastAsia" w:ascii="宋体" w:hAnsi="宋体" w:eastAsia="宋体" w:cs="宋体"/>
          <w:color w:val="auto"/>
          <w:sz w:val="24"/>
          <w:szCs w:val="24"/>
          <w:highlight w:val="none"/>
          <w:u w:val="single"/>
        </w:rPr>
        <w:t xml:space="preserve"> 壹 </w:t>
      </w:r>
      <w:r>
        <w:rPr>
          <w:rFonts w:hint="eastAsia" w:ascii="宋体" w:hAnsi="宋体" w:eastAsia="宋体" w:cs="宋体"/>
          <w:color w:val="auto"/>
          <w:sz w:val="24"/>
          <w:szCs w:val="24"/>
          <w:highlight w:val="none"/>
        </w:rPr>
        <w:t xml:space="preserve">份，采购代理机构各壹份。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本合同文件使用中文书写、解释和说明。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本合同履行过程中产生的纪要、协议以及成交通知书、响应文件和采购文件为本合同的附件，与合同具有同等效力。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未尽事宜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按《中华人民共和国政府采购法》及其他有关的法律法规的规定执行。</w:t>
      </w:r>
      <w:r/>
    </w:p>
    <w:p>
      <w:pPr>
        <w:pStyle w:val="732"/>
        <w:ind w:left="0" w:firstLine="0"/>
        <w:rPr>
          <w:color w:val="auto"/>
          <w:highlight w:val="none"/>
        </w:rPr>
      </w:pP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甲方（盖章）：                            乙方（盖章）：</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代表人（签字）：                          代表人（签字）：</w:t>
      </w:r>
      <w:r/>
    </w:p>
    <w:p>
      <w:pPr>
        <w:pStyle w:val="960"/>
        <w:ind w:firstLine="480"/>
        <w:spacing w:before="75" w:beforeAutospacing="0" w:after="75" w:afterAutospacing="0"/>
        <w:widowControl/>
        <w:rPr>
          <w:rFonts w:ascii="宋体" w:hAnsi="宋体" w:cs="宋体"/>
          <w:color w:val="auto"/>
          <w:highlight w:val="none"/>
        </w:rPr>
      </w:pPr>
      <w:r>
        <w:rPr>
          <w:rFonts w:ascii="宋体" w:hAnsi="宋体" w:cs="宋体"/>
          <w:color w:val="auto"/>
          <w:highlight w:val="none"/>
        </w:rPr>
      </w:r>
      <w:r/>
    </w:p>
    <w:p>
      <w:pPr>
        <w:ind w:firstLine="42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cs="宋体"/>
          <w:color w:val="auto"/>
          <w:highlight w:val="none"/>
        </w:rPr>
        <w:t xml:space="preserve">日期：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日期：</w:t>
      </w:r>
      <w:r/>
    </w:p>
    <w:p>
      <w:pPr>
        <w:pStyle w:val="692"/>
        <w:ind w:left="0" w:firstLine="482"/>
        <w:jc w:val="left"/>
        <w:keepLines w:val="0"/>
        <w:keepNext w:val="0"/>
        <w:pageBreakBefore w:val="0"/>
        <w:rPr>
          <w:rFonts w:ascii="宋体" w:hAnsi="宋体" w:cs="宋体"/>
          <w:b/>
          <w:color w:val="auto"/>
          <w:sz w:val="24"/>
          <w:highlight w:val="none"/>
        </w:rPr>
      </w:pPr>
      <w:r>
        <w:rPr>
          <w:rFonts w:hint="eastAsia" w:ascii="宋体" w:hAnsi="宋体" w:cs="宋体"/>
          <w:b/>
          <w:color w:val="auto"/>
          <w:sz w:val="24"/>
          <w:highlight w:val="none"/>
          <w:lang w:val="en-US" w:eastAsia="zh-CN"/>
        </w:rPr>
        <w:br w:type="page" w:clear="all"/>
      </w:r>
      <w:r/>
    </w:p>
    <w:p>
      <w:pPr>
        <w:jc w:val="center"/>
        <w:spacing w:line="360" w:lineRule="auto"/>
        <w:widowControl/>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lang w:val="en-US" w:eastAsia="zh-CN"/>
        </w:rPr>
        <w:t xml:space="preserve">第六章  </w:t>
      </w:r>
      <w:r>
        <w:rPr>
          <w:rFonts w:hint="eastAsia" w:ascii="宋体" w:hAnsi="宋体" w:eastAsia="宋体" w:cs="宋体"/>
          <w:b/>
          <w:bCs/>
          <w:color w:val="auto"/>
          <w:sz w:val="32"/>
          <w:szCs w:val="32"/>
          <w:highlight w:val="none"/>
        </w:rPr>
        <w:t xml:space="preserve">评审办法及评分标准</w:t>
      </w:r>
      <w:bookmarkEnd w:id="29"/>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一、评审办法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1、本次磋商采用综合评分法，即在响应文件满足采购文件全部实质性要求且按评审因素的量化指标评审得分最高的供应商为成交候选供应商。采购人书面授权磋商小组直接确定成交供应商。</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3、对评委的评分进行统计汇总，直接算术平均计算得分，计算出每个磋商供应商的得分，加上价格得分即为每个磋商供应商的综合得分。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pStyle w:val="1006"/>
        <w:ind w:firstLine="42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bCs/>
          <w:color w:val="auto"/>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①投标（响应）报价低于全部通过符合性审查供应商投标（响应）报价平均值50%的，即投标（响应）报价＜全部通过符合性审查供应商投标（响应）报价平均值×50%；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②投标（响应）报价低于通过符合性审查的次低报价供应商投标（响应）报价50%的，即投标（响应）报价＜通过符合性审查的次低报价供应商投标（响应）报价×50%；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③投标（响应）报价低于采购项目最高限价45%的，即投标（响应）报价＜采购项目最高限价×45%；</w:t>
      </w:r>
      <w:r/>
    </w:p>
    <w:p>
      <w:pPr>
        <w:ind w:firstLine="480"/>
        <w:spacing w:line="360" w:lineRule="auto"/>
        <w:rPr>
          <w:rFonts w:hint="eastAsia"/>
        </w:rPr>
        <w:outlineLvl w:val="9"/>
      </w:pPr>
      <w:r>
        <w:rPr>
          <w:rFonts w:hint="eastAsia" w:ascii="宋体" w:hAnsi="宋体" w:eastAsia="宋体" w:cs="宋体"/>
          <w:sz w:val="24"/>
          <w:szCs w:val="24"/>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ind w:firstLine="48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其中，属于第③项情形，供应商已随投标（响应）文件一并提交相关书面说明及必要的证明材料的，在评审现场可不再重复提交。</w:t>
      </w:r>
      <w:r/>
    </w:p>
    <w:p>
      <w:pPr>
        <w:ind w:firstLine="480"/>
        <w:spacing w:line="360" w:lineRule="auto"/>
        <w:rPr>
          <w:rFonts w:hint="eastAsia" w:ascii="宋体" w:hAnsi="宋体" w:eastAsia="宋体"/>
          <w:bCs/>
          <w:color w:val="auto"/>
          <w:sz w:val="24"/>
          <w:szCs w:val="24"/>
          <w:highlight w:val="none"/>
          <w:lang w:val="en-US" w:eastAsia="zh-CN"/>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（1）查询时间：响应文件递交截止时间。</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（4）信用记录使用规则：评审小组在对供应商进行资格性审查时，应根据查询结果对供应商的不良信用记录逐项甄别确认。</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w:t>
      </w:r>
      <w:r>
        <w:rPr>
          <w:rFonts w:ascii="宋体" w:hAnsi="宋体"/>
          <w:b/>
          <w:color w:val="auto"/>
          <w:sz w:val="24"/>
          <w:szCs w:val="24"/>
          <w:highlight w:val="none"/>
        </w:rPr>
        <w:t xml:space="preserve">价格基准分：</w:t>
      </w:r>
      <w:r>
        <w:rPr>
          <w:rFonts w:hint="eastAsia" w:ascii="宋体" w:hAnsi="宋体"/>
          <w:b/>
          <w:color w:val="auto"/>
          <w:sz w:val="24"/>
          <w:szCs w:val="24"/>
          <w:highlight w:val="none"/>
        </w:rPr>
        <w:t xml:space="preserve">10分</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第一步：磋商报价低于或等于</w:t>
      </w:r>
      <w:r>
        <w:rPr>
          <w:rFonts w:hint="eastAsia" w:ascii="宋体" w:hAnsi="宋体"/>
          <w:bCs/>
          <w:color w:val="auto"/>
          <w:sz w:val="24"/>
          <w:szCs w:val="24"/>
          <w:highlight w:val="none"/>
        </w:rPr>
        <w:t xml:space="preserve">预算</w:t>
      </w:r>
      <w:r>
        <w:rPr>
          <w:rFonts w:ascii="宋体" w:hAnsi="宋体"/>
          <w:bCs/>
          <w:color w:val="auto"/>
          <w:sz w:val="24"/>
          <w:szCs w:val="24"/>
          <w:highlight w:val="none"/>
        </w:rPr>
        <w:t xml:space="preserve">的，为有效磋商报价。</w:t>
      </w:r>
      <w:r>
        <w:rPr>
          <w:rFonts w:hint="eastAsia" w:ascii="宋体" w:hAnsi="宋体"/>
          <w:bCs/>
          <w:color w:val="auto"/>
          <w:sz w:val="24"/>
          <w:szCs w:val="24"/>
          <w:highlight w:val="none"/>
        </w:rPr>
        <w:t xml:space="preserve">报价</w:t>
      </w:r>
      <w:r>
        <w:rPr>
          <w:rFonts w:ascii="宋体" w:hAnsi="宋体"/>
          <w:bCs/>
          <w:color w:val="auto"/>
          <w:sz w:val="24"/>
          <w:szCs w:val="24"/>
          <w:highlight w:val="none"/>
        </w:rPr>
        <w:t xml:space="preserve">超</w:t>
      </w:r>
      <w:r>
        <w:rPr>
          <w:rFonts w:hint="eastAsia" w:ascii="宋体" w:hAnsi="宋体"/>
          <w:bCs/>
          <w:color w:val="auto"/>
          <w:sz w:val="24"/>
          <w:szCs w:val="24"/>
          <w:highlight w:val="none"/>
        </w:rPr>
        <w:t xml:space="preserve">过预算或最高限价</w:t>
      </w:r>
      <w:r>
        <w:rPr>
          <w:rFonts w:ascii="宋体" w:hAnsi="宋体"/>
          <w:bCs/>
          <w:color w:val="auto"/>
          <w:sz w:val="24"/>
          <w:szCs w:val="24"/>
          <w:highlight w:val="none"/>
        </w:rPr>
        <w:t xml:space="preserve">的磋商报价为无效磋商报价。无效磋商报价的磋商响应文件不进行评审，也不得成交。</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第二步：在所有有效磋商报价中满足采购文件要求，且经磋商后最终</w:t>
      </w:r>
      <w:r>
        <w:rPr>
          <w:rFonts w:hint="eastAsia" w:ascii="宋体" w:hAnsi="宋体"/>
          <w:bCs/>
          <w:color w:val="auto"/>
          <w:sz w:val="24"/>
          <w:szCs w:val="24"/>
          <w:highlight w:val="none"/>
        </w:rPr>
        <w:t xml:space="preserve">总</w:t>
      </w:r>
      <w:r>
        <w:rPr>
          <w:rFonts w:ascii="宋体" w:hAnsi="宋体"/>
          <w:bCs/>
          <w:color w:val="auto"/>
          <w:sz w:val="24"/>
          <w:szCs w:val="24"/>
          <w:highlight w:val="none"/>
        </w:rPr>
        <w:t xml:space="preserve">评审价格最低的磋商报价为评标基准价，其价格分为</w:t>
      </w: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分，其他磋商供应商的价格分按照下列公式计算（计算结果四舍五入保留两位小数）</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磋商报价得分＝（评标基准价/磋商报价）×</w:t>
      </w:r>
      <w:r>
        <w:rPr>
          <w:rFonts w:hint="eastAsia" w:ascii="宋体" w:hAnsi="宋体"/>
          <w:bCs/>
          <w:color w:val="auto"/>
          <w:sz w:val="24"/>
          <w:szCs w:val="24"/>
          <w:highlight w:val="none"/>
        </w:rPr>
        <w:t xml:space="preserve">10</w:t>
      </w:r>
      <w:r>
        <w:rPr>
          <w:rFonts w:ascii="宋体" w:hAnsi="宋体"/>
          <w:bCs/>
          <w:color w:val="auto"/>
          <w:sz w:val="24"/>
          <w:szCs w:val="24"/>
          <w:highlight w:val="none"/>
        </w:rPr>
        <w:t xml:space="preserve">%×100</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二、针对本项目的服务方案比较  </w:t>
      </w:r>
      <w:r>
        <w:rPr>
          <w:rFonts w:hint="eastAsia" w:ascii="宋体" w:hAnsi="宋体"/>
          <w:b/>
          <w:color w:val="auto"/>
          <w:sz w:val="24"/>
          <w:szCs w:val="24"/>
          <w:highlight w:val="none"/>
          <w:lang w:val="en-US" w:eastAsia="zh-CN"/>
        </w:rPr>
        <w:t xml:space="preserve">65</w:t>
      </w:r>
      <w:r>
        <w:rPr>
          <w:rFonts w:hint="eastAsia" w:ascii="宋体" w:hAnsi="宋体"/>
          <w:b/>
          <w:color w:val="auto"/>
          <w:sz w:val="24"/>
          <w:szCs w:val="24"/>
          <w:highlight w:val="none"/>
        </w:rPr>
        <w:t xml:space="preserve">分</w:t>
      </w:r>
      <w:r/>
    </w:p>
    <w:p>
      <w:pPr>
        <w:ind w:firstLine="482"/>
        <w:jc w:val="left"/>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w:t>
      </w:r>
      <w:r>
        <w:rPr>
          <w:rFonts w:hint="eastAsia" w:ascii="宋体" w:hAnsi="宋体"/>
          <w:b/>
          <w:bCs/>
          <w:color w:val="auto"/>
          <w:sz w:val="24"/>
          <w:szCs w:val="24"/>
          <w:highlight w:val="none"/>
        </w:rPr>
        <w:t xml:space="preserve">发展规划与目标定位比较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发展规划与目标定位方案进行综合比较打分。有明确且合理的目标定位，能结合目标定位制定科学的发展规划，对政策要求的服务项目有专门的规划安排，能展现未来养老服务产品提供的丰富性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分；较为科学合理、比较符合服务发展需求、操作性较强的得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分；方案一般的得2分；方案差或未提供相应内容的不得分。</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bCs/>
          <w:color w:val="auto"/>
          <w:sz w:val="24"/>
          <w:szCs w:val="24"/>
          <w:highlight w:val="none"/>
        </w:rPr>
        <w:t xml:space="preserve">服务宗旨和服务理念比较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  评委根据响应单位针对本项目提供的服务宗旨和服务理念进行综合比较打分。能够结合日间照料中心制定符合发展规划与目标的服务宗旨和服务理念，且宗旨和理念具有较好的可读性与宣传性的</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分；可读性比较强、便于宣传、与政策方向和街道实际比较相符得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3、</w:t>
      </w:r>
      <w:r>
        <w:rPr>
          <w:rFonts w:hint="eastAsia" w:ascii="宋体" w:hAnsi="宋体"/>
          <w:b/>
          <w:bCs/>
          <w:color w:val="auto"/>
          <w:sz w:val="24"/>
          <w:szCs w:val="24"/>
          <w:highlight w:val="none"/>
        </w:rPr>
        <w:t xml:space="preserve">助餐服务方案比较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评委根据响应单位针对本项目提供的助餐服务方案的完整性、可行性、个性化、专业化、创新与特色、保证措施等方面进行综合比较打分。方案内容规范完整，可行性高的得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4、</w:t>
      </w:r>
      <w:r>
        <w:rPr>
          <w:rFonts w:hint="eastAsia" w:ascii="宋体" w:hAnsi="宋体"/>
          <w:b/>
          <w:bCs/>
          <w:color w:val="auto"/>
          <w:sz w:val="24"/>
          <w:szCs w:val="24"/>
          <w:highlight w:val="none"/>
        </w:rPr>
        <w:t xml:space="preserve">日间生活照料方案比较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评委根据响应单位针对本项目提供的日间生活照料方案的完整性、可行性、个性化、专业化、创新与特色、保证措施等方面进行综合比较打分。方案内容规范完整，可行性高的得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5、</w:t>
      </w:r>
      <w:r>
        <w:rPr>
          <w:rFonts w:hint="eastAsia" w:ascii="宋体" w:hAnsi="宋体"/>
          <w:b/>
          <w:bCs/>
          <w:color w:val="auto"/>
          <w:sz w:val="24"/>
          <w:szCs w:val="24"/>
          <w:highlight w:val="none"/>
        </w:rPr>
        <w:t xml:space="preserve">健康指导方案比较  </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评委根据响应单位针对本项目提供的健康指导方案的完整性、可行性、个性化、专业化、创新与特色、保证措施等方面进行综合比较打分。方案内容规范完整，可行性高的得</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6、</w:t>
      </w:r>
      <w:r>
        <w:rPr>
          <w:rFonts w:hint="eastAsia" w:ascii="宋体" w:hAnsi="宋体"/>
          <w:b/>
          <w:bCs/>
          <w:color w:val="auto"/>
          <w:sz w:val="24"/>
          <w:szCs w:val="24"/>
          <w:highlight w:val="none"/>
        </w:rPr>
        <w:t xml:space="preserve">文化娱乐方案比较  6分  </w:t>
      </w:r>
      <w:r>
        <w:rPr>
          <w:rFonts w:hint="eastAsia" w:ascii="宋体" w:hAnsi="宋体"/>
          <w:bCs/>
          <w:color w:val="auto"/>
          <w:sz w:val="24"/>
          <w:szCs w:val="24"/>
          <w:highlight w:val="none"/>
        </w:rPr>
        <w:t xml:space="preserve">评委根据响应单位针对本项目提供的文化娱乐方案的完整性、可行性、个性化、专业化、创新与特色、保证措施等方面进行综合比较打分。方案内容规范完整，可行性高的得6分；内容较为完整，可行性较高的得4分；方案一般的得2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color w:val="auto"/>
          <w:sz w:val="24"/>
          <w:szCs w:val="24"/>
          <w:highlight w:val="none"/>
        </w:rPr>
        <w:t xml:space="preserve">7、</w:t>
      </w:r>
      <w:r>
        <w:rPr>
          <w:rFonts w:hint="eastAsia" w:ascii="宋体" w:hAnsi="宋体"/>
          <w:b/>
          <w:bCs/>
          <w:color w:val="auto"/>
          <w:sz w:val="24"/>
          <w:szCs w:val="24"/>
          <w:highlight w:val="none"/>
        </w:rPr>
        <w:t xml:space="preserve">心理（精神）慰藉方案比较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心理（精神）慰藉方案的完整性、可行性、个性化、专业化、创新与特色、保证措施等方面进行综合比较打分。方案内容规范完整，可行性高的得6分；内容较为完整，可行性较高的得4分；方案一般的得2分；方案差或未提供相应内容的不得分。</w:t>
      </w:r>
      <w:r/>
    </w:p>
    <w:p>
      <w:pPr>
        <w:ind w:firstLine="482"/>
        <w:jc w:val="left"/>
        <w:spacing w:line="360" w:lineRule="auto"/>
        <w:widowControl/>
        <w:rPr>
          <w:rFonts w:hint="eastAsia" w:ascii="宋体" w:hAnsi="宋体"/>
          <w:b/>
          <w:bCs/>
          <w:color w:val="auto"/>
          <w:sz w:val="24"/>
          <w:szCs w:val="24"/>
          <w:highlight w:val="none"/>
        </w:rPr>
      </w:pPr>
      <w:r>
        <w:rPr>
          <w:rFonts w:hint="eastAsia" w:ascii="宋体" w:hAnsi="宋体"/>
          <w:b/>
          <w:color w:val="auto"/>
          <w:sz w:val="24"/>
          <w:szCs w:val="24"/>
          <w:highlight w:val="none"/>
        </w:rPr>
        <w:t xml:space="preserve">8、</w:t>
      </w:r>
      <w:r>
        <w:rPr>
          <w:rFonts w:hint="eastAsia" w:ascii="宋体" w:hAnsi="宋体"/>
          <w:b/>
          <w:bCs/>
          <w:color w:val="auto"/>
          <w:sz w:val="24"/>
          <w:szCs w:val="24"/>
          <w:highlight w:val="none"/>
        </w:rPr>
        <w:t xml:space="preserve">监管保障方案比较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评委根据响应单位针对本项目提供的监管保障方案（包括但不限于具备标准化的服务作业监管流程，科学完善的保障措施等方面）进行综合比较打分。整体监管保障制度健全可行性高的得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分；整体监管保障制度较为健全，可行性较高的得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分；整体监管保障制度不够健全，可行性较低的得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9、应急与安全保障措施比较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评委根据响应单位针对本项目提供的应急与安全保障措施（包括但不限于突发公共卫生事件、灾害事故等方面）进行综合比较打分。方案完整，制度全面，科学合理，可操作性强的得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分；方案较完整，制度较全面，较为科学合理，可操作性较强的得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分；方案差或未提供相应内容的不得分。</w:t>
      </w:r>
      <w:r/>
    </w:p>
    <w:p>
      <w:pPr>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10、协调配合方案比较 </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  </w:t>
      </w:r>
      <w:r>
        <w:rPr>
          <w:rFonts w:hint="eastAsia" w:ascii="宋体" w:hAnsi="宋体"/>
          <w:bCs/>
          <w:color w:val="auto"/>
          <w:sz w:val="24"/>
          <w:szCs w:val="24"/>
          <w:highlight w:val="none"/>
        </w:rPr>
        <w:t xml:space="preserve">评委根据响应单位针对本项目提供的运营期间与采购单位、其他单位及部门的协调配合方案进行综合比较打分。方案完整，科学合理，可操作性强的得</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分；方案较完整，较为科学合理，可操作性较强的得</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分；方案一般的得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分；方案差或未提供相应内容的不得分。</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三、人员配置情况  14分</w:t>
      </w:r>
      <w:r/>
    </w:p>
    <w:p>
      <w:pPr>
        <w:ind w:firstLine="482"/>
        <w:jc w:val="left"/>
        <w:spacing w:line="360" w:lineRule="auto"/>
        <w:widowControl/>
        <w:rPr>
          <w:rFonts w:hint="eastAsia" w:ascii="宋体" w:hAnsi="宋体"/>
          <w:b/>
          <w:color w:val="auto"/>
          <w:sz w:val="24"/>
          <w:szCs w:val="24"/>
          <w:highlight w:val="none"/>
        </w:rPr>
      </w:pPr>
      <w:r>
        <w:rPr>
          <w:rFonts w:hint="eastAsia" w:ascii="宋体" w:hAnsi="宋体"/>
          <w:b/>
          <w:color w:val="auto"/>
          <w:sz w:val="24"/>
          <w:szCs w:val="24"/>
          <w:highlight w:val="none"/>
        </w:rPr>
        <w:t xml:space="preserve">1、项目</w:t>
      </w:r>
      <w:r>
        <w:rPr>
          <w:rFonts w:hint="eastAsia" w:ascii="宋体" w:hAnsi="宋体"/>
          <w:b/>
          <w:color w:val="auto"/>
          <w:sz w:val="24"/>
          <w:szCs w:val="24"/>
          <w:highlight w:val="none"/>
          <w:lang w:val="en-US" w:eastAsia="zh-CN"/>
        </w:rPr>
        <w:t xml:space="preserve">主管</w:t>
      </w:r>
      <w:r>
        <w:rPr>
          <w:rFonts w:hint="eastAsia" w:ascii="宋体" w:hAnsi="宋体"/>
          <w:b/>
          <w:color w:val="auto"/>
          <w:sz w:val="24"/>
          <w:szCs w:val="24"/>
          <w:highlight w:val="none"/>
        </w:rPr>
        <w:t xml:space="preserve">情况 </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分  </w:t>
      </w:r>
      <w:r/>
    </w:p>
    <w:p>
      <w:pPr>
        <w:ind w:firstLine="482"/>
        <w:jc w:val="left"/>
        <w:spacing w:line="360" w:lineRule="auto"/>
        <w:widowControl/>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 xml:space="preserve">在满足人员基本要求的前提下</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主管</w:t>
      </w:r>
      <w:r>
        <w:rPr>
          <w:rFonts w:hint="eastAsia" w:ascii="宋体" w:hAnsi="宋体" w:cs="宋体"/>
          <w:bCs/>
          <w:color w:val="auto"/>
          <w:sz w:val="24"/>
          <w:szCs w:val="24"/>
          <w:highlight w:val="none"/>
        </w:rPr>
        <w:t xml:space="preserve">①拥有全日制本科及以上学历</w:t>
      </w:r>
      <w:r>
        <w:rPr>
          <w:rFonts w:ascii="宋体" w:hAnsi="宋体" w:cs="宋体"/>
          <w:color w:val="auto"/>
          <w:sz w:val="24"/>
          <w:szCs w:val="24"/>
          <w:highlight w:val="none"/>
        </w:rPr>
        <w:t xml:space="preserve">（提供学历证书）</w:t>
      </w:r>
      <w:r>
        <w:rPr>
          <w:rFonts w:hint="eastAsia" w:ascii="宋体" w:hAnsi="宋体" w:cs="宋体"/>
          <w:bCs/>
          <w:color w:val="auto"/>
          <w:sz w:val="24"/>
          <w:szCs w:val="24"/>
          <w:highlight w:val="none"/>
        </w:rPr>
        <w:t xml:space="preserve">得2分；②持有有效中级及以上社会工作师证</w:t>
      </w:r>
      <w:r>
        <w:rPr>
          <w:rFonts w:ascii="宋体" w:hAnsi="宋体" w:cs="宋体"/>
          <w:color w:val="auto"/>
          <w:sz w:val="24"/>
          <w:szCs w:val="24"/>
          <w:highlight w:val="none"/>
        </w:rPr>
        <w:t xml:space="preserve">（提供证书）</w:t>
      </w:r>
      <w:r>
        <w:rPr>
          <w:rFonts w:hint="eastAsia" w:ascii="宋体" w:hAnsi="宋体" w:cs="宋体"/>
          <w:bCs/>
          <w:color w:val="auto"/>
          <w:sz w:val="24"/>
          <w:szCs w:val="24"/>
          <w:highlight w:val="none"/>
        </w:rPr>
        <w:t xml:space="preserve">得2分；③具备6年及以上养老服务</w:t>
      </w:r>
      <w:r>
        <w:rPr>
          <w:rFonts w:ascii="宋体" w:hAnsi="宋体" w:cs="宋体"/>
          <w:color w:val="auto"/>
          <w:sz w:val="24"/>
          <w:szCs w:val="24"/>
          <w:highlight w:val="none"/>
        </w:rPr>
        <w:t xml:space="preserve">运营管理经验（提供相关经验证明材料）</w:t>
      </w:r>
      <w:r>
        <w:rPr>
          <w:rFonts w:hint="eastAsia" w:ascii="宋体" w:hAnsi="宋体" w:cs="宋体"/>
          <w:bCs/>
          <w:color w:val="auto"/>
          <w:sz w:val="24"/>
          <w:szCs w:val="24"/>
          <w:highlight w:val="none"/>
        </w:rPr>
        <w:t xml:space="preserve">得2分。</w:t>
      </w:r>
      <w:r>
        <w:rPr>
          <w:rFonts w:ascii="宋体" w:hAnsi="宋体" w:cs="宋体"/>
          <w:color w:val="auto"/>
          <w:sz w:val="24"/>
          <w:szCs w:val="24"/>
          <w:highlight w:val="none"/>
        </w:rPr>
        <w:t xml:space="preserve">本项最高</w:t>
      </w:r>
      <w:r>
        <w:rPr>
          <w:rFonts w:hint="eastAsia" w:ascii="宋体" w:hAnsi="宋体" w:cs="宋体"/>
          <w:color w:val="auto"/>
          <w:sz w:val="24"/>
          <w:szCs w:val="24"/>
          <w:highlight w:val="none"/>
          <w:lang w:val="en-US" w:eastAsia="zh-CN"/>
        </w:rPr>
        <w:t xml:space="preserve">6</w:t>
      </w:r>
      <w:r>
        <w:rPr>
          <w:rFonts w:ascii="宋体" w:hAnsi="宋体" w:cs="宋体"/>
          <w:color w:val="auto"/>
          <w:sz w:val="24"/>
          <w:szCs w:val="24"/>
          <w:highlight w:val="none"/>
        </w:rPr>
        <w:t xml:space="preserve">分。</w:t>
      </w:r>
      <w:r>
        <w:rPr>
          <w:rFonts w:hint="eastAsia" w:ascii="宋体" w:hAnsi="宋体"/>
          <w:color w:val="auto"/>
          <w:sz w:val="24"/>
          <w:szCs w:val="24"/>
          <w:highlight w:val="none"/>
        </w:rPr>
        <w:t xml:space="preserve">响应文件中提供各证书扫描件及响应单位为其缴纳的最新一期社保证明扫描件，否则不得分。</w:t>
      </w:r>
      <w:r/>
    </w:p>
    <w:p>
      <w:pPr>
        <w:ind w:firstLine="482"/>
        <w:jc w:val="left"/>
        <w:spacing w:line="360" w:lineRule="auto"/>
        <w:widowControl/>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2、项目组成员情况 8分</w:t>
      </w:r>
      <w:r/>
    </w:p>
    <w:p>
      <w:pPr>
        <w:ind w:firstLine="482"/>
        <w:jc w:val="left"/>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在满足人员基本要求的前提下项目组员</w:t>
      </w:r>
      <w:r>
        <w:rPr>
          <w:rFonts w:hint="default" w:ascii="宋体" w:hAnsi="宋体" w:cs="宋体"/>
          <w:color w:val="auto"/>
          <w:sz w:val="24"/>
          <w:szCs w:val="24"/>
          <w:highlight w:val="none"/>
          <w:lang w:val="en-US" w:eastAsia="zh-CN"/>
        </w:rPr>
        <w:t xml:space="preserve">（不含项目</w:t>
      </w:r>
      <w:r>
        <w:rPr>
          <w:rFonts w:hint="eastAsia" w:ascii="宋体" w:hAnsi="宋体" w:cs="宋体"/>
          <w:color w:val="auto"/>
          <w:sz w:val="24"/>
          <w:szCs w:val="24"/>
          <w:highlight w:val="none"/>
          <w:lang w:val="en-US" w:eastAsia="zh-CN"/>
        </w:rPr>
        <w:t xml:space="preserve">主管</w:t>
      </w:r>
      <w:r>
        <w:rPr>
          <w:rFonts w:hint="default" w:ascii="宋体" w:hAnsi="宋体" w:cs="宋体"/>
          <w:color w:val="auto"/>
          <w:sz w:val="24"/>
          <w:szCs w:val="24"/>
          <w:highlight w:val="none"/>
          <w:lang w:val="en-US" w:eastAsia="zh-CN"/>
        </w:rPr>
        <w:t xml:space="preserve">）持有</w:t>
      </w:r>
      <w:r>
        <w:rPr>
          <w:rFonts w:hint="eastAsia" w:ascii="宋体" w:hAnsi="宋体"/>
          <w:color w:val="auto"/>
          <w:sz w:val="24"/>
          <w:szCs w:val="24"/>
          <w:highlight w:val="none"/>
        </w:rPr>
        <w:t xml:space="preserve">健康管理师证</w:t>
      </w:r>
      <w:r>
        <w:rPr>
          <w:rFonts w:hint="default" w:ascii="宋体" w:hAnsi="宋体" w:cs="宋体"/>
          <w:color w:val="auto"/>
          <w:sz w:val="24"/>
          <w:szCs w:val="24"/>
          <w:highlight w:val="none"/>
          <w:lang w:val="en-US" w:eastAsia="zh-CN"/>
        </w:rPr>
        <w:t xml:space="preserve">、心理咨询师证、医生证、老年人评估员证，每提供一类得2分，共计8分</w:t>
      </w:r>
      <w:r>
        <w:rPr>
          <w:rFonts w:hint="eastAsia" w:ascii="宋体" w:hAnsi="宋体" w:cs="宋体"/>
          <w:color w:val="auto"/>
          <w:sz w:val="24"/>
          <w:szCs w:val="24"/>
          <w:highlight w:val="none"/>
          <w:lang w:val="en-US" w:eastAsia="zh-CN"/>
        </w:rPr>
        <w:t xml:space="preserve">。</w:t>
      </w:r>
      <w:r/>
    </w:p>
    <w:p>
      <w:pPr>
        <w:numPr>
          <w:ilvl w:val="0"/>
          <w:numId w:val="0"/>
        </w:numPr>
        <w:ind w:firstLine="482"/>
        <w:jc w:val="left"/>
        <w:spacing w:line="360" w:lineRule="auto"/>
        <w:widowControl/>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注：响应文件中需提供相关人员相关证明材料复印件，一人持多证仅计一次，未提供的不予计分。</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四、响应单位综合实力比较  1</w:t>
      </w:r>
      <w:r>
        <w:rPr>
          <w:rFonts w:hint="eastAsia" w:ascii="宋体" w:hAnsi="宋体"/>
          <w:b/>
          <w:color w:val="auto"/>
          <w:sz w:val="24"/>
          <w:szCs w:val="24"/>
          <w:highlight w:val="none"/>
          <w:lang w:val="en-US" w:eastAsia="zh-CN"/>
        </w:rPr>
        <w:t xml:space="preserve">1</w:t>
      </w:r>
      <w:r>
        <w:rPr>
          <w:rFonts w:hint="eastAsia" w:ascii="宋体" w:hAnsi="宋体"/>
          <w:b/>
          <w:color w:val="auto"/>
          <w:sz w:val="24"/>
          <w:szCs w:val="24"/>
          <w:highlight w:val="none"/>
        </w:rPr>
        <w:t xml:space="preserve">分</w:t>
      </w:r>
      <w:r/>
    </w:p>
    <w:p>
      <w:pPr>
        <w:ind w:firstLine="480"/>
        <w:jc w:val="left"/>
        <w:spacing w:line="360" w:lineRule="auto"/>
        <w:rPr>
          <w:rFonts w:hint="eastAsia" w:ascii="宋体" w:hAnsi="宋体"/>
          <w:bCs/>
          <w:color w:val="auto"/>
          <w:sz w:val="24"/>
          <w:szCs w:val="24"/>
          <w:highlight w:val="none"/>
        </w:rPr>
      </w:pPr>
      <w:r/>
      <w:bookmarkStart w:id="30" w:name="OLE_LINK10"/>
      <w:r/>
      <w:bookmarkStart w:id="31" w:name="OLE_LINK11"/>
      <w:r>
        <w:rPr>
          <w:rFonts w:hint="eastAsia" w:ascii="宋体" w:hAnsi="宋体"/>
          <w:b/>
          <w:color w:val="auto"/>
          <w:sz w:val="24"/>
          <w:szCs w:val="24"/>
          <w:highlight w:val="none"/>
        </w:rPr>
        <w:t xml:space="preserve">1、类似业绩情况  </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分 </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响应单位提供自202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月1日（以合同签订日期为准）起至今承担过的类似项目业绩的，每提供一份得</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分，最高</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分。响应文件中提供业绩合同扫描件，否则不得分。</w:t>
      </w:r>
      <w:bookmarkEnd w:id="30"/>
      <w:r/>
      <w:bookmarkEnd w:id="31"/>
      <w:r/>
      <w:r/>
    </w:p>
    <w:p>
      <w:pPr>
        <w:pStyle w:val="732"/>
        <w:ind w:left="0" w:firstLine="516"/>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2、体系证书5分</w:t>
      </w:r>
      <w:r/>
    </w:p>
    <w:p>
      <w:pPr>
        <w:pStyle w:val="732"/>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投标人具有企业标准化管理体系认证证书（GB/T15496-2017）、售后服务认证证书（GBT27922-2011）且认证内容包含养老服务相关范围，有一项得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分，本项最高</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响应文件中提供有效期内证书扫描件，须提供证书在相关网站上查询链接和截图，否则不得分。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投标人具有在有效期内的养老服务认证证书（RB/T303-2016）的，且认证内容包含养老服务相关范围，获得5A级认证的，得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分；4A级认证的，得2分；4A级以下得1分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响应文件中提供有效期内证书扫描件，须提供证书在相关网站上查询链接和截图，否则不得分。</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注：</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1、针对评分标准中评分的每一条，响应单位均应提供相关资料并作出相应说明供评委评判，不提供相关资料的视为不具备该项得分的条件，资料须编好目录及页码并利于评委评审、查阅。</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2、响应单位必须保证全部投标资料的真实性，如有虚假或对招标文件所要求说明的情况故意隐瞒或虚报，将按《中华人民共和国政府采购法》第七十七条“提供虚假材料谋取中标、成交”相关处理办法处理。</w:t>
      </w:r>
      <w:r/>
    </w:p>
    <w:p>
      <w:pPr>
        <w:ind w:firstLine="369"/>
        <w:jc w:val="righ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369"/>
        <w:jc w:val="righ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（全文完）</w:t>
      </w:r>
      <w:r/>
    </w:p>
    <w:sectPr>
      <w:headerReference w:type="default" r:id="rId10"/>
      <w:footerReference w:type="default" r:id="rId12"/>
      <w:footnotePr/>
      <w:endnotePr/>
      <w:type w:val="nextPage"/>
      <w:pgSz w:w="11906" w:h="16838" w:orient="portrait"/>
      <w:pgMar w:top="1134" w:right="1417" w:bottom="1134" w:left="1270" w:header="851" w:footer="992" w:gutter="0"/>
      <w:pgNumType w:start="5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Cambria">
    <w:panose1 w:val="02040503050406030204"/>
  </w:font>
  <w:font w:name="仿宋_GB2312">
    <w:panose1 w:val="02010609060101010101"/>
  </w:font>
  <w:font w:name="黑体">
    <w:panose1 w:val="02010609060101010101"/>
  </w:font>
  <w:font w:name="Tahoma">
    <w:panose1 w:val="020B0604030504040204"/>
  </w:font>
  <w:font w:name="方正仿宋简体">
    <w:panose1 w:val="020B0503020202020204"/>
  </w:font>
  <w:font w:name="Calibri">
    <w:panose1 w:val="020F0502020204030204"/>
  </w:font>
  <w:font w:name="Courier New">
    <w:panose1 w:val="02070309020205020404"/>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3"/>
  </w:num>
  <w:num w:numId="3">
    <w:abstractNumId w:val="1"/>
  </w:num>
  <w:num w:numId="4">
    <w:abstractNumId w:val="7"/>
  </w:num>
  <w:num w:numId="5">
    <w:abstractNumId w:val="5"/>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1011"/>
    <w:uiPriority w:val="0"/>
    <w:qFormat/>
    <w:pPr>
      <w:jc w:val="both"/>
      <w:widowControl w:val="off"/>
    </w:pPr>
    <w:rPr>
      <w:rFonts w:hint="default" w:ascii="Times New Roman" w:hAnsi="Times New Roman" w:eastAsia="宋体" w:cs="Times New Roman"/>
      <w:sz w:val="21"/>
      <w:szCs w:val="22"/>
    </w:rPr>
  </w:style>
  <w:style w:type="paragraph" w:styleId="655">
    <w:name w:val="Heading 1"/>
    <w:basedOn w:val="654"/>
    <w:next w:val="654"/>
    <w:link w:val="734"/>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735"/>
    <w:uiPriority w:val="9"/>
    <w:unhideWhenUsed/>
    <w:qFormat/>
    <w:pPr>
      <w:ind w:firstLine="422"/>
      <w:keepLines/>
      <w:keepNext/>
      <w:spacing w:line="360" w:lineRule="auto"/>
      <w:outlineLvl w:val="1"/>
    </w:pPr>
    <w:rPr>
      <w:rFonts w:ascii="宋体" w:hAnsi="宋体" w:cs="宋体"/>
      <w:b/>
      <w:szCs w:val="21"/>
    </w:rPr>
  </w:style>
  <w:style w:type="paragraph" w:styleId="657">
    <w:name w:val="Heading 3"/>
    <w:basedOn w:val="654"/>
    <w:next w:val="654"/>
    <w:link w:val="736"/>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737"/>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738"/>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39"/>
    <w:uiPriority w:val="9"/>
    <w:unhideWhenUsed/>
    <w:qFormat/>
    <w:pPr>
      <w:keepLines/>
      <w:keepNext/>
      <w:spacing w:before="320" w:after="200"/>
      <w:outlineLvl w:val="5"/>
    </w:pPr>
    <w:rPr>
      <w:rFonts w:ascii="Arial" w:hAnsi="Arial" w:eastAsia="Arial" w:cs="Arial"/>
      <w:b/>
      <w:bCs/>
      <w:sz w:val="22"/>
    </w:rPr>
  </w:style>
  <w:style w:type="paragraph" w:styleId="661">
    <w:name w:val="Heading 7"/>
    <w:basedOn w:val="654"/>
    <w:next w:val="654"/>
    <w:link w:val="740"/>
    <w:uiPriority w:val="9"/>
    <w:unhideWhenUsed/>
    <w:qFormat/>
    <w:pPr>
      <w:keepLines/>
      <w:keepNext/>
      <w:spacing w:before="320" w:after="200"/>
      <w:outlineLvl w:val="6"/>
    </w:pPr>
    <w:rPr>
      <w:rFonts w:ascii="Arial" w:hAnsi="Arial" w:eastAsia="Arial" w:cs="Arial"/>
      <w:b/>
      <w:bCs/>
      <w:i/>
      <w:iCs/>
      <w:sz w:val="22"/>
    </w:rPr>
  </w:style>
  <w:style w:type="paragraph" w:styleId="662">
    <w:name w:val="Heading 8"/>
    <w:basedOn w:val="654"/>
    <w:next w:val="654"/>
    <w:link w:val="741"/>
    <w:uiPriority w:val="9"/>
    <w:unhideWhenUsed/>
    <w:qFormat/>
    <w:pPr>
      <w:keepLines/>
      <w:keepNext/>
      <w:spacing w:before="320" w:after="200"/>
      <w:outlineLvl w:val="7"/>
    </w:pPr>
    <w:rPr>
      <w:rFonts w:ascii="Arial" w:hAnsi="Arial" w:eastAsia="Arial" w:cs="Arial"/>
      <w:i/>
      <w:iCs/>
      <w:sz w:val="22"/>
    </w:rPr>
  </w:style>
  <w:style w:type="paragraph" w:styleId="663">
    <w:name w:val="Heading 9"/>
    <w:basedOn w:val="654"/>
    <w:next w:val="654"/>
    <w:link w:val="742"/>
    <w:uiPriority w:val="9"/>
    <w:unhideWhenUsed/>
    <w:qFormat/>
    <w:pPr>
      <w:keepLines/>
      <w:keepNext/>
      <w:spacing w:before="320" w:after="200"/>
      <w:outlineLvl w:val="8"/>
    </w:pPr>
    <w:rPr>
      <w:rFonts w:ascii="Arial" w:hAnsi="Arial" w:eastAsia="Arial" w:cs="Arial"/>
      <w:i/>
      <w:iCs/>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Body Text Indent"/>
    <w:basedOn w:val="654"/>
    <w:next w:val="667"/>
    <w:uiPriority w:val="99"/>
    <w:unhideWhenUsed/>
    <w:qFormat/>
    <w:pPr>
      <w:ind w:left="420"/>
      <w:spacing w:after="120" w:line="360" w:lineRule="auto"/>
      <w:widowControl/>
    </w:pPr>
    <w:rPr>
      <w:rFonts w:eastAsia="楷体_GB2312"/>
      <w:sz w:val="26"/>
      <w:szCs w:val="20"/>
    </w:rPr>
  </w:style>
  <w:style w:type="paragraph" w:styleId="667">
    <w:name w:val="envelope return"/>
    <w:basedOn w:val="654"/>
    <w:uiPriority w:val="0"/>
    <w:qFormat/>
    <w:rPr>
      <w:rFonts w:ascii="Arial" w:hAnsi="Arial" w:eastAsia="楷体_GB2312"/>
      <w:sz w:val="26"/>
    </w:rPr>
  </w:style>
  <w:style w:type="paragraph" w:styleId="668">
    <w:name w:val="toc 7"/>
    <w:basedOn w:val="654"/>
    <w:next w:val="654"/>
    <w:uiPriority w:val="39"/>
    <w:unhideWhenUsed/>
    <w:qFormat/>
    <w:pPr>
      <w:ind w:left="1701" w:right="0" w:firstLine="0"/>
      <w:spacing w:after="57"/>
    </w:pPr>
  </w:style>
  <w:style w:type="paragraph" w:styleId="669">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0">
    <w:name w:val="annotation text"/>
    <w:basedOn w:val="654"/>
    <w:uiPriority w:val="99"/>
    <w:semiHidden/>
    <w:unhideWhenUsed/>
    <w:qFormat/>
    <w:pPr>
      <w:jc w:val="left"/>
    </w:pPr>
  </w:style>
  <w:style w:type="paragraph" w:styleId="671">
    <w:name w:val="toc 5"/>
    <w:basedOn w:val="654"/>
    <w:next w:val="654"/>
    <w:uiPriority w:val="39"/>
    <w:unhideWhenUsed/>
    <w:qFormat/>
    <w:pPr>
      <w:ind w:left="1134" w:right="0" w:firstLine="0"/>
      <w:spacing w:after="57"/>
    </w:pPr>
  </w:style>
  <w:style w:type="paragraph" w:styleId="672">
    <w:name w:val="toc 3"/>
    <w:basedOn w:val="654"/>
    <w:next w:val="654"/>
    <w:uiPriority w:val="39"/>
    <w:unhideWhenUsed/>
    <w:qFormat/>
    <w:pPr>
      <w:ind w:left="567" w:right="0" w:firstLine="0"/>
      <w:spacing w:after="57"/>
    </w:pPr>
  </w:style>
  <w:style w:type="paragraph" w:styleId="673">
    <w:name w:val="toc 8"/>
    <w:basedOn w:val="654"/>
    <w:next w:val="654"/>
    <w:uiPriority w:val="39"/>
    <w:unhideWhenUsed/>
    <w:qFormat/>
    <w:pPr>
      <w:ind w:left="1984" w:right="0" w:firstLine="0"/>
      <w:spacing w:after="57"/>
    </w:pPr>
  </w:style>
  <w:style w:type="paragraph" w:styleId="674">
    <w:name w:val="endnote text"/>
    <w:basedOn w:val="654"/>
    <w:uiPriority w:val="99"/>
    <w:semiHidden/>
    <w:unhideWhenUsed/>
    <w:qFormat/>
    <w:pPr>
      <w:spacing w:after="0" w:line="240" w:lineRule="auto"/>
    </w:pPr>
    <w:rPr>
      <w:sz w:val="20"/>
    </w:rPr>
  </w:style>
  <w:style w:type="paragraph" w:styleId="675">
    <w:name w:val="Footer"/>
    <w:basedOn w:val="654"/>
    <w:uiPriority w:val="99"/>
    <w:unhideWhenUsed/>
    <w:qFormat/>
    <w:pPr>
      <w:spacing w:after="0" w:line="240" w:lineRule="auto"/>
      <w:tabs>
        <w:tab w:val="center" w:pos="7143" w:leader="none"/>
        <w:tab w:val="right" w:pos="14287" w:leader="none"/>
      </w:tabs>
    </w:pPr>
  </w:style>
  <w:style w:type="paragraph" w:styleId="676">
    <w:name w:val="Header"/>
    <w:basedOn w:val="654"/>
    <w:uiPriority w:val="99"/>
    <w:unhideWhenUsed/>
    <w:qFormat/>
    <w:pPr>
      <w:spacing w:after="0" w:line="240" w:lineRule="auto"/>
      <w:tabs>
        <w:tab w:val="center" w:pos="7143" w:leader="none"/>
        <w:tab w:val="right" w:pos="14287" w:leader="none"/>
      </w:tabs>
    </w:pPr>
  </w:style>
  <w:style w:type="paragraph" w:styleId="677">
    <w:name w:val="toc 1"/>
    <w:basedOn w:val="654"/>
    <w:next w:val="654"/>
    <w:uiPriority w:val="39"/>
    <w:unhideWhenUsed/>
    <w:qFormat/>
    <w:pPr>
      <w:ind w:left="0" w:right="0" w:firstLine="0"/>
      <w:spacing w:after="57"/>
    </w:pPr>
  </w:style>
  <w:style w:type="paragraph" w:styleId="678">
    <w:name w:val="toc 4"/>
    <w:basedOn w:val="654"/>
    <w:next w:val="654"/>
    <w:uiPriority w:val="39"/>
    <w:unhideWhenUsed/>
    <w:qFormat/>
    <w:pPr>
      <w:ind w:left="850" w:right="0" w:firstLine="0"/>
      <w:spacing w:after="57"/>
    </w:pPr>
  </w:style>
  <w:style w:type="paragraph" w:styleId="679">
    <w:name w:val="Subtitle"/>
    <w:basedOn w:val="654"/>
    <w:next w:val="654"/>
    <w:uiPriority w:val="11"/>
    <w:qFormat/>
    <w:pPr>
      <w:spacing w:before="200" w:after="200"/>
    </w:pPr>
    <w:rPr>
      <w:sz w:val="24"/>
      <w:szCs w:val="24"/>
    </w:rPr>
  </w:style>
  <w:style w:type="paragraph" w:styleId="680">
    <w:name w:val="footnote text"/>
    <w:basedOn w:val="654"/>
    <w:uiPriority w:val="99"/>
    <w:semiHidden/>
    <w:unhideWhenUsed/>
    <w:qFormat/>
    <w:pPr>
      <w:spacing w:after="40" w:line="240" w:lineRule="auto"/>
    </w:pPr>
    <w:rPr>
      <w:sz w:val="18"/>
    </w:rPr>
  </w:style>
  <w:style w:type="paragraph" w:styleId="681">
    <w:name w:val="toc 6"/>
    <w:basedOn w:val="654"/>
    <w:next w:val="654"/>
    <w:uiPriority w:val="39"/>
    <w:unhideWhenUsed/>
    <w:qFormat/>
    <w:pPr>
      <w:ind w:left="1417" w:right="0" w:firstLine="0"/>
      <w:spacing w:after="57"/>
    </w:pPr>
  </w:style>
  <w:style w:type="paragraph" w:styleId="682">
    <w:name w:val="Body Text Indent 3"/>
    <w:basedOn w:val="654"/>
    <w:uiPriority w:val="0"/>
    <w:qFormat/>
    <w:pPr>
      <w:ind w:firstLine="480"/>
      <w:spacing w:line="400" w:lineRule="exact"/>
    </w:pPr>
    <w:rPr>
      <w:rFonts w:ascii="Times New Roman" w:hAnsi="Times New Roman"/>
      <w:sz w:val="24"/>
      <w:szCs w:val="24"/>
    </w:rPr>
  </w:style>
  <w:style w:type="paragraph" w:styleId="683">
    <w:name w:val="table of figures"/>
    <w:basedOn w:val="654"/>
    <w:next w:val="654"/>
    <w:uiPriority w:val="99"/>
    <w:unhideWhenUsed/>
    <w:qFormat/>
    <w:pPr>
      <w:spacing w:after="0" w:afterAutospacing="0"/>
    </w:pPr>
  </w:style>
  <w:style w:type="paragraph" w:styleId="684">
    <w:name w:val="toc 2"/>
    <w:basedOn w:val="654"/>
    <w:next w:val="654"/>
    <w:uiPriority w:val="39"/>
    <w:unhideWhenUsed/>
    <w:qFormat/>
    <w:pPr>
      <w:ind w:left="283" w:right="0" w:firstLine="0"/>
      <w:spacing w:after="57"/>
    </w:pPr>
  </w:style>
  <w:style w:type="paragraph" w:styleId="685">
    <w:name w:val="toc 9"/>
    <w:basedOn w:val="654"/>
    <w:next w:val="654"/>
    <w:uiPriority w:val="39"/>
    <w:unhideWhenUsed/>
    <w:qFormat/>
    <w:pPr>
      <w:ind w:left="2268" w:right="0" w:firstLine="0"/>
      <w:spacing w:after="57"/>
    </w:pPr>
  </w:style>
  <w:style w:type="paragraph" w:styleId="686">
    <w:name w:val="Title"/>
    <w:basedOn w:val="654"/>
    <w:next w:val="654"/>
    <w:uiPriority w:val="10"/>
    <w:qFormat/>
    <w:pPr>
      <w:contextualSpacing/>
      <w:spacing w:before="300" w:after="200"/>
    </w:pPr>
    <w:rPr>
      <w:sz w:val="48"/>
      <w:szCs w:val="48"/>
    </w:rPr>
  </w:style>
  <w:style w:type="table" w:styleId="6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Strong"/>
    <w:basedOn w:val="664"/>
    <w:uiPriority w:val="22"/>
    <w:qFormat/>
    <w:rPr>
      <w:b/>
    </w:rPr>
  </w:style>
  <w:style w:type="character" w:styleId="689">
    <w:name w:val="endnote reference"/>
    <w:uiPriority w:val="99"/>
    <w:semiHidden/>
    <w:unhideWhenUsed/>
    <w:qFormat/>
    <w:rPr>
      <w:vertAlign w:val="superscript"/>
    </w:rPr>
  </w:style>
  <w:style w:type="character" w:styleId="690">
    <w:name w:val="Hyperlink"/>
    <w:uiPriority w:val="99"/>
    <w:unhideWhenUsed/>
    <w:qFormat/>
    <w:rPr>
      <w:color w:val="0000ff" w:themeColor="hyperlink"/>
      <w:u w:val="single"/>
      <w14:textFill>
        <w14:solidFill>
          <w14:schemeClr w14:val="hlink"/>
        </w14:solidFill>
      </w14:textFill>
    </w:rPr>
  </w:style>
  <w:style w:type="character" w:styleId="691">
    <w:name w:val="footnote reference"/>
    <w:uiPriority w:val="99"/>
    <w:unhideWhenUsed/>
    <w:qFormat/>
    <w:rPr>
      <w:vertAlign w:val="superscript"/>
    </w:rPr>
  </w:style>
  <w:style w:type="paragraph" w:styleId="692" w:customStyle="1">
    <w:name w:val="正文文本缩进111"/>
    <w:basedOn w:val="654"/>
    <w:next w:val="693"/>
    <w:uiPriority w:val="0"/>
    <w:qFormat/>
    <w:pPr>
      <w:ind w:left="420" w:firstLine="1188"/>
      <w:spacing w:line="360" w:lineRule="exact"/>
    </w:pPr>
    <w:rPr>
      <w:szCs w:val="24"/>
    </w:rPr>
  </w:style>
  <w:style w:type="paragraph" w:styleId="693" w:customStyle="1">
    <w:name w:val="目录 51"/>
    <w:basedOn w:val="654"/>
    <w:next w:val="654"/>
    <w:uiPriority w:val="39"/>
    <w:unhideWhenUsed/>
    <w:qFormat/>
    <w:pPr>
      <w:ind w:left="1134"/>
      <w:spacing w:after="57"/>
    </w:pPr>
  </w:style>
  <w:style w:type="character" w:styleId="694" w:customStyle="1">
    <w:name w:val="默认段落字体11"/>
    <w:link w:val="654"/>
    <w:uiPriority w:val="1"/>
    <w:unhideWhenUsed/>
    <w:qFormat/>
  </w:style>
  <w:style w:type="table" w:styleId="695" w:customStyle="1">
    <w:name w:val="普通表格11"/>
    <w:uiPriority w:val="99"/>
    <w:unhideWhenUsed/>
    <w:qFormat/>
    <w:tblPr/>
  </w:style>
  <w:style w:type="paragraph" w:styleId="696" w:customStyle="1">
    <w:name w:val="目录 711"/>
    <w:basedOn w:val="654"/>
    <w:next w:val="654"/>
    <w:uiPriority w:val="39"/>
    <w:unhideWhenUsed/>
    <w:qFormat/>
    <w:pPr>
      <w:ind w:left="1701"/>
      <w:spacing w:after="57"/>
    </w:pPr>
  </w:style>
  <w:style w:type="paragraph" w:styleId="697" w:customStyle="1">
    <w:name w:val="正文缩进111"/>
    <w:basedOn w:val="654"/>
    <w:next w:val="654"/>
    <w:uiPriority w:val="0"/>
    <w:qFormat/>
    <w:pPr>
      <w:ind w:left="420" w:firstLine="4772"/>
    </w:pPr>
  </w:style>
  <w:style w:type="paragraph" w:styleId="698" w:customStyle="1">
    <w:name w:val="批注文字11"/>
    <w:basedOn w:val="654"/>
    <w:link w:val="699"/>
    <w:uiPriority w:val="99"/>
    <w:unhideWhenUsed/>
    <w:qFormat/>
    <w:pPr>
      <w:jc w:val="left"/>
    </w:pPr>
  </w:style>
  <w:style w:type="character" w:styleId="699" w:customStyle="1">
    <w:name w:val="批注文字 字符1"/>
    <w:link w:val="698"/>
    <w:uiPriority w:val="99"/>
    <w:semiHidden/>
    <w:qFormat/>
    <w:rPr>
      <w:sz w:val="21"/>
      <w:szCs w:val="22"/>
    </w:rPr>
  </w:style>
  <w:style w:type="paragraph" w:styleId="700" w:customStyle="1">
    <w:name w:val="正文文本12"/>
    <w:basedOn w:val="654"/>
    <w:next w:val="697"/>
    <w:uiPriority w:val="0"/>
    <w:qFormat/>
    <w:pPr>
      <w:spacing w:after="120"/>
    </w:pPr>
    <w:rPr>
      <w:szCs w:val="24"/>
    </w:rPr>
  </w:style>
  <w:style w:type="paragraph" w:styleId="701" w:customStyle="1">
    <w:name w:val="目录 52"/>
    <w:basedOn w:val="654"/>
    <w:next w:val="654"/>
    <w:uiPriority w:val="39"/>
    <w:unhideWhenUsed/>
    <w:qFormat/>
    <w:pPr>
      <w:ind w:left="1134"/>
      <w:spacing w:after="57"/>
    </w:pPr>
  </w:style>
  <w:style w:type="paragraph" w:styleId="702" w:customStyle="1">
    <w:name w:val="目录 311"/>
    <w:basedOn w:val="654"/>
    <w:next w:val="654"/>
    <w:uiPriority w:val="39"/>
    <w:unhideWhenUsed/>
    <w:qFormat/>
    <w:pPr>
      <w:ind w:left="567"/>
      <w:spacing w:after="57"/>
    </w:pPr>
  </w:style>
  <w:style w:type="paragraph" w:styleId="703" w:customStyle="1">
    <w:name w:val="纯文本11"/>
    <w:basedOn w:val="654"/>
    <w:link w:val="704"/>
    <w:uiPriority w:val="0"/>
    <w:qFormat/>
    <w:rPr>
      <w:rFonts w:ascii="宋体" w:hAnsi="Courier New" w:eastAsia="楷体_GB2312"/>
      <w:sz w:val="26"/>
      <w:szCs w:val="20"/>
    </w:rPr>
  </w:style>
  <w:style w:type="character" w:styleId="704" w:customStyle="1">
    <w:name w:val="纯文本 字符"/>
    <w:link w:val="703"/>
    <w:uiPriority w:val="0"/>
    <w:qFormat/>
    <w:rPr>
      <w:rFonts w:ascii="宋体" w:hAnsi="Courier New" w:eastAsia="楷体_GB2312"/>
      <w:sz w:val="26"/>
    </w:rPr>
  </w:style>
  <w:style w:type="paragraph" w:styleId="705" w:customStyle="1">
    <w:name w:val="目录 811"/>
    <w:basedOn w:val="654"/>
    <w:next w:val="654"/>
    <w:uiPriority w:val="39"/>
    <w:unhideWhenUsed/>
    <w:qFormat/>
    <w:pPr>
      <w:ind w:left="1984"/>
      <w:spacing w:after="57"/>
    </w:pPr>
  </w:style>
  <w:style w:type="paragraph" w:styleId="706" w:customStyle="1">
    <w:name w:val="尾注文本1"/>
    <w:basedOn w:val="654"/>
    <w:link w:val="707"/>
    <w:uiPriority w:val="99"/>
    <w:unhideWhenUsed/>
    <w:qFormat/>
    <w:rPr>
      <w:sz w:val="20"/>
    </w:rPr>
  </w:style>
  <w:style w:type="character" w:styleId="707" w:customStyle="1">
    <w:name w:val="尾注文本 字符"/>
    <w:link w:val="706"/>
    <w:uiPriority w:val="99"/>
    <w:qFormat/>
    <w:rPr>
      <w:sz w:val="20"/>
    </w:rPr>
  </w:style>
  <w:style w:type="paragraph" w:styleId="708" w:customStyle="1">
    <w:name w:val="批注框文本1"/>
    <w:basedOn w:val="654"/>
    <w:link w:val="709"/>
    <w:uiPriority w:val="99"/>
    <w:unhideWhenUsed/>
    <w:qFormat/>
    <w:rPr>
      <w:sz w:val="18"/>
      <w:szCs w:val="18"/>
    </w:rPr>
  </w:style>
  <w:style w:type="character" w:styleId="709" w:customStyle="1">
    <w:name w:val="批注框文本 字符"/>
    <w:link w:val="708"/>
    <w:uiPriority w:val="99"/>
    <w:semiHidden/>
    <w:qFormat/>
    <w:rPr>
      <w:sz w:val="18"/>
      <w:szCs w:val="18"/>
    </w:rPr>
  </w:style>
  <w:style w:type="paragraph" w:styleId="710" w:customStyle="1">
    <w:name w:val="寄信人地址12"/>
    <w:basedOn w:val="654"/>
    <w:uiPriority w:val="0"/>
    <w:qFormat/>
    <w:rPr>
      <w:sz w:val="26"/>
      <w:szCs w:val="24"/>
    </w:rPr>
  </w:style>
  <w:style w:type="paragraph" w:styleId="711" w:customStyle="1">
    <w:name w:val="目录 111"/>
    <w:basedOn w:val="654"/>
    <w:next w:val="654"/>
    <w:uiPriority w:val="39"/>
    <w:unhideWhenUsed/>
    <w:qFormat/>
    <w:pPr>
      <w:spacing w:after="57"/>
    </w:pPr>
  </w:style>
  <w:style w:type="paragraph" w:styleId="712" w:customStyle="1">
    <w:name w:val="目录 411"/>
    <w:basedOn w:val="654"/>
    <w:next w:val="654"/>
    <w:uiPriority w:val="39"/>
    <w:unhideWhenUsed/>
    <w:qFormat/>
    <w:pPr>
      <w:ind w:left="850"/>
      <w:spacing w:after="57"/>
    </w:pPr>
  </w:style>
  <w:style w:type="paragraph" w:styleId="713" w:customStyle="1">
    <w:name w:val="副标题1"/>
    <w:basedOn w:val="654"/>
    <w:next w:val="654"/>
    <w:link w:val="714"/>
    <w:uiPriority w:val="11"/>
    <w:qFormat/>
    <w:pPr>
      <w:spacing w:before="200" w:after="200"/>
    </w:pPr>
    <w:rPr>
      <w:sz w:val="24"/>
      <w:szCs w:val="24"/>
    </w:rPr>
  </w:style>
  <w:style w:type="character" w:styleId="714" w:customStyle="1">
    <w:name w:val="副标题 字符"/>
    <w:link w:val="713"/>
    <w:uiPriority w:val="11"/>
    <w:qFormat/>
    <w:rPr>
      <w:sz w:val="24"/>
      <w:szCs w:val="24"/>
    </w:rPr>
  </w:style>
  <w:style w:type="paragraph" w:styleId="715" w:customStyle="1">
    <w:name w:val="脚注文本1"/>
    <w:basedOn w:val="654"/>
    <w:link w:val="716"/>
    <w:uiPriority w:val="99"/>
    <w:unhideWhenUsed/>
    <w:qFormat/>
    <w:pPr>
      <w:spacing w:after="40"/>
    </w:pPr>
    <w:rPr>
      <w:sz w:val="18"/>
    </w:rPr>
  </w:style>
  <w:style w:type="character" w:styleId="716" w:customStyle="1">
    <w:name w:val="脚注文本 字符"/>
    <w:link w:val="715"/>
    <w:uiPriority w:val="99"/>
    <w:qFormat/>
    <w:rPr>
      <w:sz w:val="18"/>
    </w:rPr>
  </w:style>
  <w:style w:type="paragraph" w:styleId="717" w:customStyle="1">
    <w:name w:val="目录 611"/>
    <w:basedOn w:val="654"/>
    <w:next w:val="654"/>
    <w:uiPriority w:val="39"/>
    <w:unhideWhenUsed/>
    <w:qFormat/>
    <w:pPr>
      <w:ind w:left="1417"/>
      <w:spacing w:after="57"/>
    </w:pPr>
  </w:style>
  <w:style w:type="paragraph" w:styleId="718" w:customStyle="1">
    <w:name w:val="图表目录1"/>
    <w:basedOn w:val="654"/>
    <w:next w:val="654"/>
    <w:uiPriority w:val="99"/>
    <w:unhideWhenUsed/>
    <w:qFormat/>
  </w:style>
  <w:style w:type="paragraph" w:styleId="719" w:customStyle="1">
    <w:name w:val="目录 212"/>
    <w:basedOn w:val="654"/>
    <w:next w:val="654"/>
    <w:uiPriority w:val="39"/>
    <w:unhideWhenUsed/>
    <w:qFormat/>
    <w:pPr>
      <w:ind w:left="283"/>
      <w:spacing w:after="57"/>
    </w:pPr>
  </w:style>
  <w:style w:type="paragraph" w:styleId="720" w:customStyle="1">
    <w:name w:val="目录 911"/>
    <w:basedOn w:val="654"/>
    <w:next w:val="654"/>
    <w:uiPriority w:val="39"/>
    <w:unhideWhenUsed/>
    <w:qFormat/>
    <w:pPr>
      <w:ind w:left="2268"/>
      <w:spacing w:after="57"/>
    </w:pPr>
  </w:style>
  <w:style w:type="paragraph" w:styleId="721" w:customStyle="1">
    <w:name w:val="普通(网站)11"/>
    <w:basedOn w:val="654"/>
    <w:uiPriority w:val="99"/>
    <w:qFormat/>
    <w:pPr>
      <w:jc w:val="left"/>
      <w:spacing w:before="100" w:beforeAutospacing="1" w:after="100" w:afterAutospacing="1"/>
      <w:widowControl/>
    </w:pPr>
    <w:rPr>
      <w:rFonts w:ascii="宋体" w:hAnsi="宋体" w:cs="宋体"/>
      <w:sz w:val="24"/>
    </w:rPr>
  </w:style>
  <w:style w:type="paragraph" w:styleId="722" w:customStyle="1">
    <w:name w:val="标题1"/>
    <w:basedOn w:val="654"/>
    <w:next w:val="654"/>
    <w:link w:val="723"/>
    <w:uiPriority w:val="10"/>
    <w:qFormat/>
    <w:pPr>
      <w:contextualSpacing/>
      <w:spacing w:before="300" w:after="200"/>
    </w:pPr>
    <w:rPr>
      <w:sz w:val="48"/>
      <w:szCs w:val="48"/>
    </w:rPr>
  </w:style>
  <w:style w:type="character" w:styleId="723" w:customStyle="1">
    <w:name w:val="标题 字符"/>
    <w:link w:val="722"/>
    <w:uiPriority w:val="10"/>
    <w:qFormat/>
    <w:rPr>
      <w:sz w:val="48"/>
      <w:szCs w:val="48"/>
    </w:rPr>
  </w:style>
  <w:style w:type="paragraph" w:styleId="724" w:customStyle="1">
    <w:name w:val="批注主题11"/>
    <w:basedOn w:val="698"/>
    <w:next w:val="698"/>
    <w:link w:val="725"/>
    <w:uiPriority w:val="99"/>
    <w:unhideWhenUsed/>
    <w:qFormat/>
    <w:rPr>
      <w:b/>
      <w:bCs/>
    </w:rPr>
  </w:style>
  <w:style w:type="character" w:styleId="725" w:customStyle="1">
    <w:name w:val="批注主题 字符1"/>
    <w:link w:val="724"/>
    <w:uiPriority w:val="99"/>
    <w:semiHidden/>
    <w:qFormat/>
    <w:rPr>
      <w:b/>
      <w:bCs/>
      <w:sz w:val="21"/>
      <w:szCs w:val="22"/>
    </w:rPr>
  </w:style>
  <w:style w:type="table" w:styleId="726" w:customStyle="1">
    <w:name w:val="网格型1"/>
    <w:uiPriority w:val="59"/>
    <w:qFormat/>
    <w:tblPr/>
  </w:style>
  <w:style w:type="character" w:styleId="727" w:customStyle="1">
    <w:name w:val="尾注引用1"/>
    <w:link w:val="654"/>
    <w:uiPriority w:val="99"/>
    <w:unhideWhenUsed/>
    <w:qFormat/>
    <w:rPr>
      <w:vertAlign w:val="superscript"/>
    </w:rPr>
  </w:style>
  <w:style w:type="character" w:styleId="728" w:customStyle="1">
    <w:name w:val="强调11"/>
    <w:basedOn w:val="694"/>
    <w:link w:val="654"/>
    <w:uiPriority w:val="20"/>
    <w:qFormat/>
  </w:style>
  <w:style w:type="character" w:styleId="729" w:customStyle="1">
    <w:name w:val="超链接11"/>
    <w:link w:val="654"/>
    <w:uiPriority w:val="99"/>
    <w:unhideWhenUsed/>
    <w:qFormat/>
    <w:rPr>
      <w:color w:val="0000ff"/>
      <w:u w:val="single"/>
    </w:rPr>
  </w:style>
  <w:style w:type="character" w:styleId="730" w:customStyle="1">
    <w:name w:val="批注引用11"/>
    <w:link w:val="654"/>
    <w:uiPriority w:val="99"/>
    <w:unhideWhenUsed/>
    <w:qFormat/>
    <w:rPr>
      <w:sz w:val="21"/>
      <w:szCs w:val="21"/>
    </w:rPr>
  </w:style>
  <w:style w:type="character" w:styleId="731" w:customStyle="1">
    <w:name w:val="脚注引用1"/>
    <w:link w:val="654"/>
    <w:uiPriority w:val="99"/>
    <w:unhideWhenUsed/>
    <w:qFormat/>
    <w:rPr>
      <w:vertAlign w:val="superscript"/>
    </w:rPr>
  </w:style>
  <w:style w:type="paragraph" w:styleId="732" w:customStyle="1">
    <w:name w:val="正文首行缩进 21"/>
    <w:basedOn w:val="733"/>
    <w:next w:val="654"/>
    <w:uiPriority w:val="99"/>
    <w:unhideWhenUsed/>
    <w:qFormat/>
    <w:pPr>
      <w:ind w:firstLine="420"/>
    </w:pPr>
    <w:rPr>
      <w:rFonts w:ascii="Calibri" w:hAnsi="Calibri"/>
    </w:rPr>
  </w:style>
  <w:style w:type="paragraph" w:styleId="733" w:customStyle="1">
    <w:name w:val="正文文本缩进1"/>
    <w:uiPriority w:val="0"/>
    <w:qFormat/>
    <w:pPr>
      <w:ind w:left="570"/>
      <w:jc w:val="both"/>
      <w:spacing w:line="520" w:lineRule="exact"/>
      <w:widowControl w:val="off"/>
    </w:pPr>
    <w:rPr>
      <w:rFonts w:hint="default" w:ascii="方正仿宋简体" w:hAnsi="创艺简仿宋" w:eastAsia="方正仿宋简体" w:cs="Times New Roman"/>
      <w:sz w:val="24"/>
    </w:rPr>
  </w:style>
  <w:style w:type="character" w:styleId="734" w:customStyle="1">
    <w:name w:val="标题 1 字符"/>
    <w:link w:val="655"/>
    <w:uiPriority w:val="9"/>
    <w:qFormat/>
    <w:rPr>
      <w:rFonts w:ascii="Arial" w:hAnsi="Arial" w:eastAsia="Arial" w:cs="Arial"/>
      <w:sz w:val="40"/>
      <w:szCs w:val="40"/>
    </w:rPr>
  </w:style>
  <w:style w:type="character" w:styleId="735" w:customStyle="1">
    <w:name w:val="标题 2 字符"/>
    <w:link w:val="656"/>
    <w:uiPriority w:val="9"/>
    <w:qFormat/>
    <w:rPr>
      <w:rFonts w:ascii="宋体" w:hAnsi="宋体" w:cs="宋体"/>
      <w:b/>
      <w:sz w:val="21"/>
      <w:szCs w:val="21"/>
    </w:rPr>
  </w:style>
  <w:style w:type="character" w:styleId="736" w:customStyle="1">
    <w:name w:val="标题 3 字符"/>
    <w:link w:val="657"/>
    <w:uiPriority w:val="9"/>
    <w:qFormat/>
    <w:rPr>
      <w:rFonts w:ascii="Arial" w:hAnsi="Arial" w:eastAsia="Arial" w:cs="Arial"/>
      <w:sz w:val="30"/>
      <w:szCs w:val="30"/>
    </w:rPr>
  </w:style>
  <w:style w:type="character" w:styleId="737" w:customStyle="1">
    <w:name w:val="标题 4 字符"/>
    <w:link w:val="658"/>
    <w:uiPriority w:val="9"/>
    <w:qFormat/>
    <w:rPr>
      <w:rFonts w:ascii="Arial" w:hAnsi="Arial" w:eastAsia="Arial" w:cs="Arial"/>
      <w:b/>
      <w:bCs/>
      <w:sz w:val="26"/>
      <w:szCs w:val="26"/>
    </w:rPr>
  </w:style>
  <w:style w:type="character" w:styleId="738" w:customStyle="1">
    <w:name w:val="标题 5 字符"/>
    <w:link w:val="659"/>
    <w:uiPriority w:val="9"/>
    <w:qFormat/>
    <w:rPr>
      <w:rFonts w:ascii="Arial" w:hAnsi="Arial" w:eastAsia="Arial" w:cs="Arial"/>
      <w:b/>
      <w:bCs/>
      <w:sz w:val="24"/>
      <w:szCs w:val="24"/>
    </w:rPr>
  </w:style>
  <w:style w:type="character" w:styleId="739" w:customStyle="1">
    <w:name w:val="标题 6 字符"/>
    <w:link w:val="660"/>
    <w:uiPriority w:val="9"/>
    <w:qFormat/>
    <w:rPr>
      <w:rFonts w:ascii="Arial" w:hAnsi="Arial" w:eastAsia="Arial" w:cs="Arial"/>
      <w:b/>
      <w:bCs/>
      <w:sz w:val="22"/>
      <w:szCs w:val="22"/>
    </w:rPr>
  </w:style>
  <w:style w:type="character" w:styleId="740" w:customStyle="1">
    <w:name w:val="标题 7 字符"/>
    <w:link w:val="661"/>
    <w:uiPriority w:val="9"/>
    <w:qFormat/>
    <w:rPr>
      <w:rFonts w:ascii="Arial" w:hAnsi="Arial" w:eastAsia="Arial" w:cs="Arial"/>
      <w:b/>
      <w:bCs/>
      <w:i/>
      <w:iCs/>
      <w:sz w:val="22"/>
      <w:szCs w:val="22"/>
    </w:rPr>
  </w:style>
  <w:style w:type="character" w:styleId="741" w:customStyle="1">
    <w:name w:val="标题 8 字符"/>
    <w:link w:val="662"/>
    <w:uiPriority w:val="9"/>
    <w:qFormat/>
    <w:rPr>
      <w:rFonts w:ascii="Arial" w:hAnsi="Arial" w:eastAsia="Arial" w:cs="Arial"/>
      <w:i/>
      <w:iCs/>
      <w:sz w:val="22"/>
      <w:szCs w:val="22"/>
    </w:rPr>
  </w:style>
  <w:style w:type="character" w:styleId="742" w:customStyle="1">
    <w:name w:val="标题 9 字符"/>
    <w:link w:val="663"/>
    <w:uiPriority w:val="9"/>
    <w:qFormat/>
    <w:rPr>
      <w:rFonts w:ascii="Arial" w:hAnsi="Arial" w:eastAsia="Arial" w:cs="Arial"/>
      <w:i/>
      <w:iCs/>
      <w:sz w:val="21"/>
      <w:szCs w:val="21"/>
    </w:rPr>
  </w:style>
  <w:style w:type="paragraph" w:styleId="743" w:customStyle="1">
    <w:name w:val="Caption1"/>
    <w:basedOn w:val="654"/>
    <w:next w:val="654"/>
    <w:uiPriority w:val="35"/>
    <w:unhideWhenUsed/>
    <w:qFormat/>
    <w:pPr>
      <w:spacing w:line="276" w:lineRule="auto"/>
    </w:pPr>
    <w:rPr>
      <w:b/>
      <w:bCs/>
      <w:color w:val="4f81bd"/>
      <w:sz w:val="18"/>
      <w:szCs w:val="18"/>
    </w:rPr>
  </w:style>
  <w:style w:type="paragraph" w:styleId="744" w:customStyle="1">
    <w:name w:val="Footer1"/>
    <w:basedOn w:val="654"/>
    <w:link w:val="745"/>
    <w:uiPriority w:val="99"/>
    <w:unhideWhenUsed/>
    <w:qFormat/>
    <w:pPr>
      <w:tabs>
        <w:tab w:val="center" w:pos="7143" w:leader="none"/>
        <w:tab w:val="right" w:pos="14287" w:leader="none"/>
      </w:tabs>
    </w:pPr>
  </w:style>
  <w:style w:type="character" w:styleId="745" w:customStyle="1">
    <w:name w:val="页脚 字符1"/>
    <w:link w:val="744"/>
    <w:uiPriority w:val="99"/>
    <w:qFormat/>
  </w:style>
  <w:style w:type="paragraph" w:styleId="746" w:customStyle="1">
    <w:name w:val="Header1"/>
    <w:basedOn w:val="654"/>
    <w:link w:val="747"/>
    <w:uiPriority w:val="99"/>
    <w:unhideWhenUsed/>
    <w:qFormat/>
    <w:pPr>
      <w:tabs>
        <w:tab w:val="center" w:pos="7143" w:leader="none"/>
        <w:tab w:val="right" w:pos="14287" w:leader="none"/>
      </w:tabs>
    </w:pPr>
  </w:style>
  <w:style w:type="character" w:styleId="747" w:customStyle="1">
    <w:name w:val="页眉 字符1"/>
    <w:basedOn w:val="694"/>
    <w:link w:val="746"/>
    <w:uiPriority w:val="99"/>
    <w:qFormat/>
  </w:style>
  <w:style w:type="character" w:styleId="748" w:customStyle="1">
    <w:name w:val="Header Char"/>
    <w:basedOn w:val="694"/>
    <w:link w:val="654"/>
    <w:uiPriority w:val="99"/>
    <w:qFormat/>
  </w:style>
  <w:style w:type="character" w:styleId="749" w:customStyle="1">
    <w:name w:val="Caption Char"/>
    <w:link w:val="654"/>
    <w:uiPriority w:val="99"/>
    <w:qFormat/>
  </w:style>
  <w:style w:type="table" w:styleId="750" w:customStyle="1">
    <w:name w:val="Plain Table 1"/>
    <w:basedOn w:val="695"/>
    <w:uiPriority w:val="59"/>
    <w:qFormat/>
    <w:pPr>
      <w:spacing w:after="0" w:line="240" w:lineRule="auto"/>
    </w:pPr>
    <w:tblPr/>
  </w:style>
  <w:style w:type="table" w:styleId="751" w:customStyle="1">
    <w:name w:val="Plain Table 2"/>
    <w:basedOn w:val="695"/>
    <w:uiPriority w:val="59"/>
    <w:qFormat/>
    <w:pPr>
      <w:spacing w:after="0" w:line="240" w:lineRule="auto"/>
    </w:pPr>
    <w:tblPr/>
  </w:style>
  <w:style w:type="table" w:styleId="752" w:customStyle="1">
    <w:name w:val="Plain Table 3"/>
    <w:basedOn w:val="695"/>
    <w:uiPriority w:val="99"/>
    <w:qFormat/>
    <w:pPr>
      <w:spacing w:after="0" w:line="240" w:lineRule="auto"/>
    </w:pPr>
    <w:tblPr/>
  </w:style>
  <w:style w:type="table" w:styleId="753" w:customStyle="1">
    <w:name w:val="Plain Table 4"/>
    <w:basedOn w:val="695"/>
    <w:uiPriority w:val="99"/>
    <w:qFormat/>
    <w:pPr>
      <w:spacing w:after="0" w:line="240" w:lineRule="auto"/>
    </w:pPr>
    <w:tblPr/>
  </w:style>
  <w:style w:type="table" w:styleId="754" w:customStyle="1">
    <w:name w:val="Plain Table 5"/>
    <w:basedOn w:val="695"/>
    <w:uiPriority w:val="99"/>
    <w:qFormat/>
    <w:pPr>
      <w:spacing w:after="0" w:line="240" w:lineRule="auto"/>
    </w:pPr>
    <w:tblPr/>
  </w:style>
  <w:style w:type="table" w:styleId="755" w:customStyle="1">
    <w:name w:val="Grid Table 1 Light"/>
    <w:basedOn w:val="695"/>
    <w:uiPriority w:val="99"/>
    <w:qFormat/>
    <w:pPr>
      <w:spacing w:after="0" w:line="240" w:lineRule="auto"/>
    </w:pPr>
    <w:tblPr/>
  </w:style>
  <w:style w:type="table" w:styleId="756" w:customStyle="1">
    <w:name w:val="Grid Table 2"/>
    <w:basedOn w:val="695"/>
    <w:uiPriority w:val="99"/>
    <w:qFormat/>
    <w:pPr>
      <w:spacing w:after="0" w:line="240" w:lineRule="auto"/>
    </w:pPr>
    <w:tblPr/>
  </w:style>
  <w:style w:type="table" w:styleId="757" w:customStyle="1">
    <w:name w:val="Grid Table 3"/>
    <w:basedOn w:val="695"/>
    <w:uiPriority w:val="99"/>
    <w:qFormat/>
    <w:pPr>
      <w:spacing w:after="0" w:line="240" w:lineRule="auto"/>
    </w:pPr>
    <w:tblPr/>
  </w:style>
  <w:style w:type="table" w:styleId="758" w:customStyle="1">
    <w:name w:val="Grid Table 4"/>
    <w:basedOn w:val="695"/>
    <w:uiPriority w:val="59"/>
    <w:qFormat/>
    <w:pPr>
      <w:spacing w:after="0" w:line="240" w:lineRule="auto"/>
    </w:pPr>
    <w:tblPr/>
  </w:style>
  <w:style w:type="table" w:styleId="759" w:customStyle="1">
    <w:name w:val="Grid Table 5 Dark"/>
    <w:basedOn w:val="695"/>
    <w:uiPriority w:val="99"/>
    <w:qFormat/>
    <w:pPr>
      <w:spacing w:after="0" w:line="240" w:lineRule="auto"/>
    </w:pPr>
    <w:tblPr/>
  </w:style>
  <w:style w:type="table" w:styleId="760" w:customStyle="1">
    <w:name w:val="Grid Table 6 Colorful"/>
    <w:basedOn w:val="695"/>
    <w:uiPriority w:val="99"/>
    <w:qFormat/>
    <w:pPr>
      <w:spacing w:after="0" w:line="240" w:lineRule="auto"/>
    </w:pPr>
    <w:tblPr/>
  </w:style>
  <w:style w:type="table" w:styleId="761" w:customStyle="1">
    <w:name w:val="Grid Table 7 Colorful"/>
    <w:basedOn w:val="695"/>
    <w:uiPriority w:val="99"/>
    <w:qFormat/>
    <w:pPr>
      <w:spacing w:after="0" w:line="240" w:lineRule="auto"/>
    </w:pPr>
    <w:tblPr/>
  </w:style>
  <w:style w:type="table" w:styleId="762" w:customStyle="1">
    <w:name w:val="List Table 1 Light"/>
    <w:basedOn w:val="695"/>
    <w:uiPriority w:val="99"/>
    <w:qFormat/>
    <w:pPr>
      <w:spacing w:after="0" w:line="240" w:lineRule="auto"/>
    </w:pPr>
    <w:tblPr/>
  </w:style>
  <w:style w:type="table" w:styleId="763" w:customStyle="1">
    <w:name w:val="List Table 2"/>
    <w:basedOn w:val="695"/>
    <w:uiPriority w:val="99"/>
    <w:qFormat/>
    <w:pPr>
      <w:spacing w:after="0" w:line="240" w:lineRule="auto"/>
    </w:pPr>
    <w:tblPr/>
  </w:style>
  <w:style w:type="table" w:styleId="764" w:customStyle="1">
    <w:name w:val="List Table 3"/>
    <w:basedOn w:val="695"/>
    <w:uiPriority w:val="99"/>
    <w:qFormat/>
    <w:pPr>
      <w:spacing w:after="0" w:line="240" w:lineRule="auto"/>
    </w:pPr>
    <w:tblPr/>
  </w:style>
  <w:style w:type="table" w:styleId="765" w:customStyle="1">
    <w:name w:val="List Table 4"/>
    <w:basedOn w:val="695"/>
    <w:uiPriority w:val="99"/>
    <w:qFormat/>
    <w:pPr>
      <w:spacing w:after="0" w:line="240" w:lineRule="auto"/>
    </w:pPr>
    <w:tblPr/>
  </w:style>
  <w:style w:type="table" w:styleId="766" w:customStyle="1">
    <w:name w:val="List Table 5 Dark"/>
    <w:basedOn w:val="695"/>
    <w:uiPriority w:val="99"/>
    <w:qFormat/>
    <w:pPr>
      <w:spacing w:after="0" w:line="240" w:lineRule="auto"/>
    </w:pPr>
    <w:tblPr/>
  </w:style>
  <w:style w:type="table" w:styleId="767" w:customStyle="1">
    <w:name w:val="List Table 6 Colorful"/>
    <w:basedOn w:val="695"/>
    <w:uiPriority w:val="99"/>
    <w:qFormat/>
    <w:pPr>
      <w:spacing w:after="0" w:line="240" w:lineRule="auto"/>
    </w:pPr>
    <w:tblPr/>
  </w:style>
  <w:style w:type="table" w:styleId="768" w:customStyle="1">
    <w:name w:val="List Table 7 Colorful"/>
    <w:basedOn w:val="695"/>
    <w:uiPriority w:val="99"/>
    <w:qFormat/>
    <w:pPr>
      <w:spacing w:after="0" w:line="240" w:lineRule="auto"/>
    </w:pPr>
    <w:tblPr/>
  </w:style>
  <w:style w:type="paragraph" w:styleId="769" w:customStyle="1">
    <w:name w:val="TOC Heading"/>
    <w:uiPriority w:val="39"/>
    <w:unhideWhenUsed/>
    <w:qFormat/>
    <w:rPr>
      <w:rFonts w:hint="default" w:ascii="Times New Roman" w:hAnsi="Times New Roman" w:eastAsia="宋体" w:cs="Times New Roman"/>
    </w:rPr>
  </w:style>
  <w:style w:type="paragraph" w:styleId="770" w:customStyle="1">
    <w:name w:val="正文首行缩进 211"/>
    <w:basedOn w:val="692"/>
    <w:uiPriority w:val="0"/>
    <w:qFormat/>
    <w:pPr>
      <w:ind w:left="200" w:firstLine="420"/>
      <w:spacing w:after="120"/>
    </w:pPr>
    <w:rPr>
      <w:rFonts w:ascii="Calibri" w:hAnsi="Calibri"/>
    </w:rPr>
  </w:style>
  <w:style w:type="paragraph" w:styleId="771" w:customStyle="1">
    <w:name w:val="目录 71"/>
    <w:basedOn w:val="654"/>
    <w:next w:val="654"/>
    <w:uiPriority w:val="39"/>
    <w:unhideWhenUsed/>
    <w:qFormat/>
    <w:pPr>
      <w:ind w:left="1701"/>
      <w:spacing w:after="57"/>
    </w:pPr>
  </w:style>
  <w:style w:type="paragraph" w:styleId="772" w:customStyle="1">
    <w:name w:val="目录 31"/>
    <w:basedOn w:val="654"/>
    <w:next w:val="654"/>
    <w:uiPriority w:val="39"/>
    <w:unhideWhenUsed/>
    <w:qFormat/>
    <w:pPr>
      <w:ind w:left="567"/>
      <w:spacing w:after="57"/>
    </w:pPr>
  </w:style>
  <w:style w:type="paragraph" w:styleId="773" w:customStyle="1">
    <w:name w:val="目录 81"/>
    <w:basedOn w:val="654"/>
    <w:next w:val="654"/>
    <w:uiPriority w:val="39"/>
    <w:unhideWhenUsed/>
    <w:qFormat/>
    <w:pPr>
      <w:ind w:left="1984"/>
      <w:spacing w:after="57"/>
    </w:pPr>
  </w:style>
  <w:style w:type="paragraph" w:styleId="774" w:customStyle="1">
    <w:name w:val="目录 11"/>
    <w:basedOn w:val="654"/>
    <w:next w:val="654"/>
    <w:uiPriority w:val="39"/>
    <w:unhideWhenUsed/>
    <w:qFormat/>
    <w:pPr>
      <w:spacing w:after="57"/>
    </w:pPr>
  </w:style>
  <w:style w:type="paragraph" w:styleId="775" w:customStyle="1">
    <w:name w:val="目录 41"/>
    <w:basedOn w:val="654"/>
    <w:next w:val="654"/>
    <w:uiPriority w:val="39"/>
    <w:unhideWhenUsed/>
    <w:qFormat/>
    <w:pPr>
      <w:ind w:left="850"/>
      <w:spacing w:after="57"/>
    </w:pPr>
  </w:style>
  <w:style w:type="paragraph" w:styleId="776" w:customStyle="1">
    <w:name w:val="目录 61"/>
    <w:basedOn w:val="654"/>
    <w:next w:val="654"/>
    <w:uiPriority w:val="39"/>
    <w:unhideWhenUsed/>
    <w:qFormat/>
    <w:pPr>
      <w:ind w:left="1417"/>
      <w:spacing w:after="57"/>
    </w:pPr>
  </w:style>
  <w:style w:type="paragraph" w:styleId="777" w:customStyle="1">
    <w:name w:val="目录 211"/>
    <w:basedOn w:val="654"/>
    <w:next w:val="654"/>
    <w:uiPriority w:val="39"/>
    <w:unhideWhenUsed/>
    <w:qFormat/>
    <w:pPr>
      <w:ind w:left="283"/>
      <w:spacing w:after="57"/>
    </w:pPr>
  </w:style>
  <w:style w:type="paragraph" w:styleId="778" w:customStyle="1">
    <w:name w:val="目录 91"/>
    <w:basedOn w:val="654"/>
    <w:next w:val="654"/>
    <w:uiPriority w:val="39"/>
    <w:unhideWhenUsed/>
    <w:qFormat/>
    <w:pPr>
      <w:ind w:left="2268"/>
      <w:spacing w:after="57"/>
    </w:pPr>
  </w:style>
  <w:style w:type="character" w:styleId="779" w:customStyle="1">
    <w:name w:val="已访问的超链接11"/>
    <w:link w:val="654"/>
    <w:uiPriority w:val="99"/>
    <w:unhideWhenUsed/>
    <w:qFormat/>
    <w:rPr>
      <w:color w:val="333333"/>
      <w:u w:val="none"/>
    </w:rPr>
  </w:style>
  <w:style w:type="paragraph" w:styleId="780" w:customStyle="1">
    <w:name w:val="Caption11"/>
    <w:basedOn w:val="654"/>
    <w:next w:val="654"/>
    <w:uiPriority w:val="35"/>
    <w:unhideWhenUsed/>
    <w:qFormat/>
    <w:pPr>
      <w:spacing w:line="276" w:lineRule="auto"/>
    </w:pPr>
    <w:rPr>
      <w:b/>
      <w:bCs/>
      <w:color w:val="4f81bd"/>
      <w:sz w:val="18"/>
      <w:szCs w:val="18"/>
    </w:rPr>
  </w:style>
  <w:style w:type="paragraph" w:styleId="781" w:customStyle="1">
    <w:name w:val="Footer11"/>
    <w:basedOn w:val="654"/>
    <w:link w:val="782"/>
    <w:uiPriority w:val="99"/>
    <w:unhideWhenUsed/>
    <w:qFormat/>
    <w:pPr>
      <w:tabs>
        <w:tab w:val="center" w:pos="7143" w:leader="none"/>
        <w:tab w:val="right" w:pos="14287" w:leader="none"/>
      </w:tabs>
    </w:pPr>
  </w:style>
  <w:style w:type="character" w:styleId="782" w:customStyle="1">
    <w:name w:val="页脚 字符"/>
    <w:link w:val="781"/>
    <w:uiPriority w:val="99"/>
    <w:qFormat/>
  </w:style>
  <w:style w:type="paragraph" w:styleId="783" w:customStyle="1">
    <w:name w:val="Header11"/>
    <w:basedOn w:val="654"/>
    <w:link w:val="784"/>
    <w:uiPriority w:val="99"/>
    <w:unhideWhenUsed/>
    <w:qFormat/>
    <w:pPr>
      <w:tabs>
        <w:tab w:val="center" w:pos="7143" w:leader="none"/>
        <w:tab w:val="right" w:pos="14287" w:leader="none"/>
      </w:tabs>
    </w:pPr>
  </w:style>
  <w:style w:type="character" w:styleId="784" w:customStyle="1">
    <w:name w:val="页眉 字符"/>
    <w:link w:val="783"/>
    <w:uiPriority w:val="99"/>
    <w:qFormat/>
  </w:style>
  <w:style w:type="paragraph" w:styleId="785" w:customStyle="1">
    <w:name w:val="正文文本11"/>
    <w:basedOn w:val="654"/>
    <w:uiPriority w:val="0"/>
    <w:qFormat/>
    <w:pPr>
      <w:spacing w:after="120"/>
    </w:pPr>
  </w:style>
  <w:style w:type="paragraph" w:styleId="786" w:customStyle="1">
    <w:name w:val="段"/>
    <w:next w:val="654"/>
    <w:uiPriority w:val="0"/>
    <w:qFormat/>
    <w:pPr>
      <w:ind w:firstLine="200"/>
      <w:jc w:val="both"/>
    </w:pPr>
    <w:rPr>
      <w:rFonts w:hint="default" w:ascii="宋体" w:hAnsi="Times New Roman" w:eastAsia="宋体" w:cs="Times New Roman"/>
      <w:sz w:val="21"/>
    </w:rPr>
  </w:style>
  <w:style w:type="paragraph" w:styleId="787" w:customStyle="1">
    <w:name w:val="正文缩进1"/>
    <w:next w:val="654"/>
    <w:uiPriority w:val="0"/>
    <w:qFormat/>
    <w:pPr>
      <w:ind w:firstLine="420"/>
      <w:widowControl w:val="off"/>
    </w:pPr>
    <w:rPr>
      <w:rFonts w:hint="default" w:ascii="Times New Roman" w:hAnsi="Times New Roman" w:eastAsia="宋体" w:cs="Times New Roman"/>
      <w:sz w:val="24"/>
    </w:rPr>
  </w:style>
  <w:style w:type="table" w:styleId="788" w:customStyle="1">
    <w:name w:val="无格式表格 11"/>
    <w:basedOn w:val="695"/>
    <w:uiPriority w:val="59"/>
    <w:qFormat/>
    <w:tblPr/>
  </w:style>
  <w:style w:type="table" w:styleId="789" w:customStyle="1">
    <w:name w:val="无格式表格 21"/>
    <w:basedOn w:val="695"/>
    <w:uiPriority w:val="59"/>
    <w:qFormat/>
    <w:tblPr/>
  </w:style>
  <w:style w:type="table" w:styleId="790" w:customStyle="1">
    <w:name w:val="无格式表格 31"/>
    <w:basedOn w:val="695"/>
    <w:uiPriority w:val="99"/>
    <w:qFormat/>
    <w:tblPr/>
  </w:style>
  <w:style w:type="table" w:styleId="791" w:customStyle="1">
    <w:name w:val="无格式表格 41"/>
    <w:basedOn w:val="695"/>
    <w:uiPriority w:val="99"/>
    <w:qFormat/>
    <w:tblPr/>
  </w:style>
  <w:style w:type="table" w:styleId="792" w:customStyle="1">
    <w:name w:val="无格式表格 51"/>
    <w:basedOn w:val="695"/>
    <w:uiPriority w:val="99"/>
    <w:qFormat/>
    <w:tblPr/>
  </w:style>
  <w:style w:type="table" w:styleId="793" w:customStyle="1">
    <w:name w:val="网格表 1 浅色1"/>
    <w:basedOn w:val="695"/>
    <w:uiPriority w:val="99"/>
    <w:qFormat/>
    <w:tblPr/>
  </w:style>
  <w:style w:type="table" w:styleId="794" w:customStyle="1">
    <w:name w:val="网格表 21"/>
    <w:basedOn w:val="695"/>
    <w:uiPriority w:val="99"/>
    <w:qFormat/>
    <w:tblPr/>
  </w:style>
  <w:style w:type="table" w:styleId="795" w:customStyle="1">
    <w:name w:val="网格表 31"/>
    <w:basedOn w:val="695"/>
    <w:uiPriority w:val="99"/>
    <w:qFormat/>
    <w:tblPr/>
  </w:style>
  <w:style w:type="table" w:styleId="796" w:customStyle="1">
    <w:name w:val="网格表 41"/>
    <w:basedOn w:val="695"/>
    <w:uiPriority w:val="59"/>
    <w:qFormat/>
    <w:tblPr/>
  </w:style>
  <w:style w:type="table" w:styleId="797" w:customStyle="1">
    <w:name w:val="网格表 5 深色1"/>
    <w:basedOn w:val="695"/>
    <w:uiPriority w:val="99"/>
    <w:qFormat/>
    <w:tblPr/>
  </w:style>
  <w:style w:type="table" w:styleId="798" w:customStyle="1">
    <w:name w:val="网格表 6 彩色1"/>
    <w:basedOn w:val="695"/>
    <w:uiPriority w:val="99"/>
    <w:qFormat/>
    <w:tblPr/>
  </w:style>
  <w:style w:type="table" w:styleId="799" w:customStyle="1">
    <w:name w:val="网格表 7 彩色1"/>
    <w:basedOn w:val="695"/>
    <w:uiPriority w:val="99"/>
    <w:qFormat/>
    <w:tblPr/>
  </w:style>
  <w:style w:type="table" w:styleId="800" w:customStyle="1">
    <w:name w:val="清单表 1 浅色1"/>
    <w:basedOn w:val="695"/>
    <w:uiPriority w:val="99"/>
    <w:qFormat/>
    <w:tblPr/>
  </w:style>
  <w:style w:type="table" w:styleId="801" w:customStyle="1">
    <w:name w:val="清单表 21"/>
    <w:basedOn w:val="695"/>
    <w:uiPriority w:val="99"/>
    <w:qFormat/>
    <w:tblPr/>
  </w:style>
  <w:style w:type="table" w:styleId="802" w:customStyle="1">
    <w:name w:val="清单表 31"/>
    <w:basedOn w:val="695"/>
    <w:uiPriority w:val="99"/>
    <w:qFormat/>
    <w:tblPr/>
  </w:style>
  <w:style w:type="table" w:styleId="803" w:customStyle="1">
    <w:name w:val="清单表 41"/>
    <w:basedOn w:val="695"/>
    <w:uiPriority w:val="99"/>
    <w:qFormat/>
    <w:tblPr/>
  </w:style>
  <w:style w:type="table" w:styleId="804" w:customStyle="1">
    <w:name w:val="清单表 5 深色1"/>
    <w:basedOn w:val="695"/>
    <w:uiPriority w:val="99"/>
    <w:qFormat/>
    <w:tblPr/>
  </w:style>
  <w:style w:type="table" w:styleId="805" w:customStyle="1">
    <w:name w:val="清单表 6 彩色1"/>
    <w:basedOn w:val="695"/>
    <w:uiPriority w:val="99"/>
    <w:qFormat/>
    <w:tblPr/>
  </w:style>
  <w:style w:type="table" w:styleId="806" w:customStyle="1">
    <w:name w:val="清单表 7 彩色1"/>
    <w:basedOn w:val="695"/>
    <w:uiPriority w:val="99"/>
    <w:qFormat/>
    <w:tblPr/>
  </w:style>
  <w:style w:type="paragraph" w:styleId="807" w:customStyle="1">
    <w:name w:val="TOC 标题1"/>
    <w:uiPriority w:val="39"/>
    <w:unhideWhenUsed/>
    <w:qFormat/>
    <w:rPr>
      <w:rFonts w:hint="default" w:ascii="Times New Roman" w:hAnsi="Times New Roman" w:eastAsia="宋体" w:cs="Times New Roman"/>
    </w:rPr>
  </w:style>
  <w:style w:type="paragraph" w:styleId="808" w:customStyle="1">
    <w:name w:val="正文1"/>
    <w:basedOn w:val="654"/>
    <w:next w:val="654"/>
    <w:uiPriority w:val="0"/>
    <w:qFormat/>
    <w:pPr>
      <w:ind w:left="420" w:firstLine="527"/>
      <w:spacing w:before="120" w:line="360" w:lineRule="auto"/>
    </w:pPr>
    <w:rPr>
      <w:rFonts w:ascii="宋体" w:hAnsi="宋体"/>
      <w:szCs w:val="20"/>
    </w:rPr>
  </w:style>
  <w:style w:type="character" w:styleId="809" w:customStyle="1">
    <w:name w:val="Heading 1 Char"/>
    <w:link w:val="654"/>
    <w:uiPriority w:val="9"/>
    <w:qFormat/>
    <w:rPr>
      <w:rFonts w:ascii="Arial" w:hAnsi="Arial" w:eastAsia="Arial" w:cs="Arial"/>
      <w:sz w:val="40"/>
      <w:szCs w:val="40"/>
    </w:rPr>
  </w:style>
  <w:style w:type="character" w:styleId="810" w:customStyle="1">
    <w:name w:val="Heading 2 Char"/>
    <w:link w:val="654"/>
    <w:uiPriority w:val="9"/>
    <w:qFormat/>
    <w:rPr>
      <w:rFonts w:ascii="Arial" w:hAnsi="Arial" w:eastAsia="Arial" w:cs="Arial"/>
      <w:sz w:val="34"/>
    </w:rPr>
  </w:style>
  <w:style w:type="character" w:styleId="811" w:customStyle="1">
    <w:name w:val="Heading 3 Char"/>
    <w:link w:val="654"/>
    <w:uiPriority w:val="9"/>
    <w:qFormat/>
    <w:rPr>
      <w:rFonts w:ascii="Arial" w:hAnsi="Arial" w:eastAsia="Arial" w:cs="Arial"/>
      <w:sz w:val="30"/>
      <w:szCs w:val="30"/>
    </w:rPr>
  </w:style>
  <w:style w:type="character" w:styleId="812" w:customStyle="1">
    <w:name w:val="Heading 4 Char"/>
    <w:link w:val="654"/>
    <w:uiPriority w:val="9"/>
    <w:qFormat/>
    <w:rPr>
      <w:rFonts w:ascii="Arial" w:hAnsi="Arial" w:eastAsia="Arial" w:cs="Arial"/>
      <w:b/>
      <w:bCs/>
      <w:sz w:val="26"/>
      <w:szCs w:val="26"/>
    </w:rPr>
  </w:style>
  <w:style w:type="character" w:styleId="813" w:customStyle="1">
    <w:name w:val="Heading 5 Char"/>
    <w:link w:val="654"/>
    <w:uiPriority w:val="9"/>
    <w:qFormat/>
    <w:rPr>
      <w:rFonts w:ascii="Arial" w:hAnsi="Arial" w:eastAsia="Arial" w:cs="Arial"/>
      <w:b/>
      <w:bCs/>
      <w:sz w:val="24"/>
      <w:szCs w:val="24"/>
    </w:rPr>
  </w:style>
  <w:style w:type="character" w:styleId="814" w:customStyle="1">
    <w:name w:val="Heading 6 Char"/>
    <w:link w:val="654"/>
    <w:uiPriority w:val="9"/>
    <w:qFormat/>
    <w:rPr>
      <w:rFonts w:ascii="Arial" w:hAnsi="Arial" w:eastAsia="Arial" w:cs="Arial"/>
      <w:b/>
      <w:bCs/>
      <w:sz w:val="22"/>
      <w:szCs w:val="22"/>
    </w:rPr>
  </w:style>
  <w:style w:type="character" w:styleId="815" w:customStyle="1">
    <w:name w:val="Heading 7 Char"/>
    <w:link w:val="654"/>
    <w:uiPriority w:val="9"/>
    <w:qFormat/>
    <w:rPr>
      <w:rFonts w:ascii="Arial" w:hAnsi="Arial" w:eastAsia="Arial" w:cs="Arial"/>
      <w:b/>
      <w:bCs/>
      <w:i/>
      <w:iCs/>
      <w:sz w:val="22"/>
      <w:szCs w:val="22"/>
    </w:rPr>
  </w:style>
  <w:style w:type="character" w:styleId="816" w:customStyle="1">
    <w:name w:val="Heading 8 Char"/>
    <w:link w:val="654"/>
    <w:uiPriority w:val="9"/>
    <w:qFormat/>
    <w:rPr>
      <w:rFonts w:ascii="Arial" w:hAnsi="Arial" w:eastAsia="Arial" w:cs="Arial"/>
      <w:i/>
      <w:iCs/>
      <w:sz w:val="22"/>
      <w:szCs w:val="22"/>
    </w:rPr>
  </w:style>
  <w:style w:type="character" w:styleId="817" w:customStyle="1">
    <w:name w:val="Heading 9 Char"/>
    <w:link w:val="654"/>
    <w:uiPriority w:val="9"/>
    <w:qFormat/>
    <w:rPr>
      <w:rFonts w:ascii="Arial" w:hAnsi="Arial" w:eastAsia="Arial" w:cs="Arial"/>
      <w:i/>
      <w:iCs/>
      <w:sz w:val="21"/>
      <w:szCs w:val="21"/>
    </w:rPr>
  </w:style>
  <w:style w:type="character" w:styleId="818" w:customStyle="1">
    <w:name w:val="Title Char"/>
    <w:link w:val="654"/>
    <w:uiPriority w:val="10"/>
    <w:qFormat/>
    <w:rPr>
      <w:sz w:val="48"/>
      <w:szCs w:val="48"/>
    </w:rPr>
  </w:style>
  <w:style w:type="character" w:styleId="819" w:customStyle="1">
    <w:name w:val="Subtitle Char"/>
    <w:link w:val="654"/>
    <w:uiPriority w:val="11"/>
    <w:qFormat/>
    <w:rPr>
      <w:sz w:val="24"/>
      <w:szCs w:val="24"/>
    </w:rPr>
  </w:style>
  <w:style w:type="character" w:styleId="820" w:customStyle="1">
    <w:name w:val="Quote Char"/>
    <w:link w:val="654"/>
    <w:uiPriority w:val="29"/>
    <w:qFormat/>
    <w:rPr>
      <w:i/>
    </w:rPr>
  </w:style>
  <w:style w:type="character" w:styleId="821" w:customStyle="1">
    <w:name w:val="Intense Quote Char"/>
    <w:link w:val="654"/>
    <w:uiPriority w:val="30"/>
    <w:qFormat/>
    <w:rPr>
      <w:i/>
    </w:rPr>
  </w:style>
  <w:style w:type="character" w:styleId="822" w:customStyle="1">
    <w:name w:val="Footnote Text Char"/>
    <w:link w:val="654"/>
    <w:uiPriority w:val="99"/>
    <w:qFormat/>
    <w:rPr>
      <w:sz w:val="18"/>
    </w:rPr>
  </w:style>
  <w:style w:type="character" w:styleId="823" w:customStyle="1">
    <w:name w:val="Endnote Text Char"/>
    <w:link w:val="654"/>
    <w:uiPriority w:val="99"/>
    <w:qFormat/>
    <w:rPr>
      <w:sz w:val="20"/>
    </w:rPr>
  </w:style>
  <w:style w:type="paragraph" w:styleId="824" w:customStyle="1">
    <w:name w:val="TOC 标题111"/>
    <w:uiPriority w:val="39"/>
    <w:unhideWhenUsed/>
    <w:qFormat/>
    <w:rPr>
      <w:rFonts w:hint="default" w:ascii="Times New Roman" w:hAnsi="Times New Roman" w:eastAsia="宋体" w:cs="Times New Roman"/>
    </w:rPr>
  </w:style>
  <w:style w:type="paragraph" w:styleId="825">
    <w:name w:val="List Paragraph"/>
    <w:basedOn w:val="654"/>
    <w:uiPriority w:val="34"/>
    <w:qFormat/>
    <w:pPr>
      <w:contextualSpacing/>
      <w:ind w:left="720"/>
    </w:pPr>
  </w:style>
  <w:style w:type="paragraph" w:styleId="826">
    <w:name w:val="No Spacing"/>
    <w:uiPriority w:val="1"/>
    <w:qFormat/>
    <w:rPr>
      <w:rFonts w:hint="default" w:ascii="Times New Roman" w:hAnsi="Times New Roman" w:eastAsia="宋体" w:cs="Times New Roman"/>
    </w:rPr>
  </w:style>
  <w:style w:type="paragraph" w:styleId="827">
    <w:name w:val="Quote"/>
    <w:basedOn w:val="654"/>
    <w:next w:val="654"/>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654"/>
    <w:next w:val="654"/>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Footer Char"/>
    <w:link w:val="654"/>
    <w:uiPriority w:val="99"/>
    <w:qFormat/>
  </w:style>
  <w:style w:type="table" w:styleId="832" w:customStyle="1">
    <w:name w:val="Table Grid Light"/>
    <w:uiPriority w:val="59"/>
    <w:qFormat/>
    <w:tblPr/>
  </w:style>
  <w:style w:type="table" w:styleId="833" w:customStyle="1">
    <w:name w:val="Grid Table 1 Light - Accent 1"/>
    <w:uiPriority w:val="99"/>
    <w:qFormat/>
    <w:tblPr/>
  </w:style>
  <w:style w:type="table" w:styleId="834" w:customStyle="1">
    <w:name w:val="Grid Table 1 Light - Accent 2"/>
    <w:uiPriority w:val="99"/>
    <w:qFormat/>
    <w:tblPr/>
  </w:style>
  <w:style w:type="table" w:styleId="835" w:customStyle="1">
    <w:name w:val="Grid Table 1 Light - Accent 3"/>
    <w:uiPriority w:val="99"/>
    <w:qFormat/>
    <w:tblPr/>
  </w:style>
  <w:style w:type="table" w:styleId="836" w:customStyle="1">
    <w:name w:val="Grid Table 1 Light - Accent 4"/>
    <w:uiPriority w:val="99"/>
    <w:qFormat/>
    <w:tblPr/>
  </w:style>
  <w:style w:type="table" w:styleId="837" w:customStyle="1">
    <w:name w:val="Grid Table 1 Light - Accent 5"/>
    <w:uiPriority w:val="99"/>
    <w:qFormat/>
    <w:tblPr/>
  </w:style>
  <w:style w:type="table" w:styleId="838" w:customStyle="1">
    <w:name w:val="Grid Table 1 Light - Accent 6"/>
    <w:uiPriority w:val="99"/>
    <w:qFormat/>
    <w:tblPr/>
  </w:style>
  <w:style w:type="table" w:styleId="839" w:customStyle="1">
    <w:name w:val="Grid Table 2 - Accent 1"/>
    <w:uiPriority w:val="99"/>
    <w:qFormat/>
    <w:tblPr/>
  </w:style>
  <w:style w:type="table" w:styleId="840" w:customStyle="1">
    <w:name w:val="Grid Table 2 - Accent 2"/>
    <w:uiPriority w:val="99"/>
    <w:qFormat/>
    <w:tblPr/>
  </w:style>
  <w:style w:type="table" w:styleId="841" w:customStyle="1">
    <w:name w:val="Grid Table 2 - Accent 3"/>
    <w:uiPriority w:val="99"/>
    <w:qFormat/>
    <w:tblPr/>
  </w:style>
  <w:style w:type="table" w:styleId="842" w:customStyle="1">
    <w:name w:val="Grid Table 2 - Accent 4"/>
    <w:uiPriority w:val="99"/>
    <w:qFormat/>
    <w:tblPr/>
  </w:style>
  <w:style w:type="table" w:styleId="843" w:customStyle="1">
    <w:name w:val="Grid Table 2 - Accent 5"/>
    <w:uiPriority w:val="99"/>
    <w:qFormat/>
    <w:tblPr/>
  </w:style>
  <w:style w:type="table" w:styleId="844" w:customStyle="1">
    <w:name w:val="Grid Table 2 - Accent 6"/>
    <w:uiPriority w:val="99"/>
    <w:qFormat/>
    <w:tblPr/>
  </w:style>
  <w:style w:type="table" w:styleId="845" w:customStyle="1">
    <w:name w:val="Grid Table 3 - Accent 1"/>
    <w:uiPriority w:val="99"/>
    <w:qFormat/>
    <w:tblPr/>
  </w:style>
  <w:style w:type="table" w:styleId="846" w:customStyle="1">
    <w:name w:val="Grid Table 3 - Accent 2"/>
    <w:uiPriority w:val="99"/>
    <w:qFormat/>
    <w:tblPr/>
  </w:style>
  <w:style w:type="table" w:styleId="847" w:customStyle="1">
    <w:name w:val="Grid Table 3 - Accent 3"/>
    <w:uiPriority w:val="99"/>
    <w:qFormat/>
    <w:tblPr/>
  </w:style>
  <w:style w:type="table" w:styleId="848" w:customStyle="1">
    <w:name w:val="Grid Table 3 - Accent 4"/>
    <w:uiPriority w:val="99"/>
    <w:qFormat/>
    <w:tblPr/>
  </w:style>
  <w:style w:type="table" w:styleId="849" w:customStyle="1">
    <w:name w:val="Grid Table 3 - Accent 5"/>
    <w:uiPriority w:val="99"/>
    <w:qFormat/>
    <w:tblPr/>
  </w:style>
  <w:style w:type="table" w:styleId="850" w:customStyle="1">
    <w:name w:val="Grid Table 3 - Accent 6"/>
    <w:uiPriority w:val="99"/>
    <w:qFormat/>
    <w:tblPr/>
  </w:style>
  <w:style w:type="table" w:styleId="851" w:customStyle="1">
    <w:name w:val="Grid Table 4 - Accent 1"/>
    <w:uiPriority w:val="59"/>
    <w:qFormat/>
    <w:tblPr/>
  </w:style>
  <w:style w:type="table" w:styleId="852" w:customStyle="1">
    <w:name w:val="Grid Table 4 - Accent 2"/>
    <w:uiPriority w:val="59"/>
    <w:qFormat/>
    <w:tblPr/>
  </w:style>
  <w:style w:type="table" w:styleId="853" w:customStyle="1">
    <w:name w:val="Grid Table 4 - Accent 3"/>
    <w:uiPriority w:val="59"/>
    <w:qFormat/>
    <w:tblPr/>
  </w:style>
  <w:style w:type="table" w:styleId="854" w:customStyle="1">
    <w:name w:val="Grid Table 4 - Accent 4"/>
    <w:uiPriority w:val="59"/>
    <w:qFormat/>
    <w:tblPr/>
  </w:style>
  <w:style w:type="table" w:styleId="855" w:customStyle="1">
    <w:name w:val="Grid Table 4 - Accent 5"/>
    <w:uiPriority w:val="59"/>
    <w:qFormat/>
    <w:tblPr/>
  </w:style>
  <w:style w:type="table" w:styleId="856" w:customStyle="1">
    <w:name w:val="Grid Table 4 - Accent 6"/>
    <w:uiPriority w:val="59"/>
    <w:qFormat/>
    <w:tblPr/>
  </w:style>
  <w:style w:type="table" w:styleId="857" w:customStyle="1">
    <w:name w:val="Grid Table 5 Dark- Accent 1"/>
    <w:uiPriority w:val="99"/>
    <w:qFormat/>
    <w:tblPr/>
  </w:style>
  <w:style w:type="table" w:styleId="858" w:customStyle="1">
    <w:name w:val="Grid Table 5 Dark - Accent 2"/>
    <w:uiPriority w:val="99"/>
    <w:qFormat/>
    <w:tblPr/>
  </w:style>
  <w:style w:type="table" w:styleId="859" w:customStyle="1">
    <w:name w:val="Grid Table 5 Dark - Accent 3"/>
    <w:uiPriority w:val="99"/>
    <w:qFormat/>
    <w:tblPr/>
  </w:style>
  <w:style w:type="table" w:styleId="860" w:customStyle="1">
    <w:name w:val="Grid Table 5 Dark- Accent 4"/>
    <w:uiPriority w:val="99"/>
    <w:qFormat/>
    <w:tblPr/>
  </w:style>
  <w:style w:type="table" w:styleId="861" w:customStyle="1">
    <w:name w:val="Grid Table 5 Dark - Accent 5"/>
    <w:uiPriority w:val="99"/>
    <w:qFormat/>
    <w:tblPr/>
  </w:style>
  <w:style w:type="table" w:styleId="862" w:customStyle="1">
    <w:name w:val="Grid Table 5 Dark - Accent 6"/>
    <w:uiPriority w:val="99"/>
    <w:qFormat/>
    <w:tblPr/>
  </w:style>
  <w:style w:type="table" w:styleId="863" w:customStyle="1">
    <w:name w:val="Grid Table 6 Colorful - Accent 1"/>
    <w:uiPriority w:val="99"/>
    <w:qFormat/>
    <w:tblPr/>
  </w:style>
  <w:style w:type="table" w:styleId="864" w:customStyle="1">
    <w:name w:val="Grid Table 6 Colorful - Accent 2"/>
    <w:uiPriority w:val="99"/>
    <w:qFormat/>
    <w:tblPr/>
  </w:style>
  <w:style w:type="table" w:styleId="865" w:customStyle="1">
    <w:name w:val="Grid Table 6 Colorful - Accent 3"/>
    <w:uiPriority w:val="99"/>
    <w:qFormat/>
    <w:tblPr/>
  </w:style>
  <w:style w:type="table" w:styleId="866" w:customStyle="1">
    <w:name w:val="Grid Table 6 Colorful - Accent 4"/>
    <w:uiPriority w:val="99"/>
    <w:qFormat/>
    <w:tblPr/>
  </w:style>
  <w:style w:type="table" w:styleId="867" w:customStyle="1">
    <w:name w:val="Grid Table 6 Colorful - Accent 5"/>
    <w:uiPriority w:val="99"/>
    <w:qFormat/>
    <w:tblPr/>
  </w:style>
  <w:style w:type="table" w:styleId="868" w:customStyle="1">
    <w:name w:val="Grid Table 6 Colorful - Accent 6"/>
    <w:uiPriority w:val="99"/>
    <w:qFormat/>
    <w:tblPr/>
  </w:style>
  <w:style w:type="table" w:styleId="869" w:customStyle="1">
    <w:name w:val="Grid Table 7 Colorful - Accent 1"/>
    <w:uiPriority w:val="99"/>
    <w:qFormat/>
    <w:tblPr/>
  </w:style>
  <w:style w:type="table" w:styleId="870" w:customStyle="1">
    <w:name w:val="Grid Table 7 Colorful - Accent 2"/>
    <w:uiPriority w:val="99"/>
    <w:qFormat/>
    <w:tblPr/>
  </w:style>
  <w:style w:type="table" w:styleId="871" w:customStyle="1">
    <w:name w:val="Grid Table 7 Colorful - Accent 3"/>
    <w:uiPriority w:val="99"/>
    <w:qFormat/>
    <w:tblPr/>
  </w:style>
  <w:style w:type="table" w:styleId="872" w:customStyle="1">
    <w:name w:val="Grid Table 7 Colorful - Accent 4"/>
    <w:uiPriority w:val="99"/>
    <w:qFormat/>
    <w:tblPr/>
  </w:style>
  <w:style w:type="table" w:styleId="873" w:customStyle="1">
    <w:name w:val="Grid Table 7 Colorful - Accent 5"/>
    <w:uiPriority w:val="99"/>
    <w:qFormat/>
    <w:tblPr/>
  </w:style>
  <w:style w:type="table" w:styleId="874" w:customStyle="1">
    <w:name w:val="Grid Table 7 Colorful - Accent 6"/>
    <w:uiPriority w:val="99"/>
    <w:qFormat/>
    <w:tblPr/>
  </w:style>
  <w:style w:type="table" w:styleId="875" w:customStyle="1">
    <w:name w:val="List Table 1 Light - Accent 1"/>
    <w:uiPriority w:val="99"/>
    <w:qFormat/>
    <w:tblPr/>
  </w:style>
  <w:style w:type="table" w:styleId="876" w:customStyle="1">
    <w:name w:val="List Table 1 Light - Accent 2"/>
    <w:uiPriority w:val="99"/>
    <w:qFormat/>
    <w:tblPr/>
  </w:style>
  <w:style w:type="table" w:styleId="877" w:customStyle="1">
    <w:name w:val="List Table 1 Light - Accent 3"/>
    <w:uiPriority w:val="99"/>
    <w:qFormat/>
    <w:tblPr/>
  </w:style>
  <w:style w:type="table" w:styleId="878" w:customStyle="1">
    <w:name w:val="List Table 1 Light - Accent 4"/>
    <w:uiPriority w:val="99"/>
    <w:qFormat/>
    <w:tblPr/>
  </w:style>
  <w:style w:type="table" w:styleId="879" w:customStyle="1">
    <w:name w:val="List Table 1 Light - Accent 5"/>
    <w:uiPriority w:val="99"/>
    <w:qFormat/>
    <w:tblPr/>
  </w:style>
  <w:style w:type="table" w:styleId="880" w:customStyle="1">
    <w:name w:val="List Table 1 Light - Accent 6"/>
    <w:uiPriority w:val="99"/>
    <w:qFormat/>
    <w:tblPr/>
  </w:style>
  <w:style w:type="table" w:styleId="881" w:customStyle="1">
    <w:name w:val="List Table 2 - Accent 1"/>
    <w:uiPriority w:val="99"/>
    <w:qFormat/>
    <w:tblPr/>
  </w:style>
  <w:style w:type="table" w:styleId="882" w:customStyle="1">
    <w:name w:val="List Table 2 - Accent 2"/>
    <w:uiPriority w:val="99"/>
    <w:qFormat/>
    <w:tblPr/>
  </w:style>
  <w:style w:type="table" w:styleId="883" w:customStyle="1">
    <w:name w:val="List Table 2 - Accent 3"/>
    <w:uiPriority w:val="99"/>
    <w:qFormat/>
    <w:tblPr/>
  </w:style>
  <w:style w:type="table" w:styleId="884" w:customStyle="1">
    <w:name w:val="List Table 2 - Accent 4"/>
    <w:uiPriority w:val="99"/>
    <w:qFormat/>
    <w:tblPr/>
  </w:style>
  <w:style w:type="table" w:styleId="885" w:customStyle="1">
    <w:name w:val="List Table 2 - Accent 5"/>
    <w:uiPriority w:val="99"/>
    <w:qFormat/>
    <w:tblPr/>
  </w:style>
  <w:style w:type="table" w:styleId="886" w:customStyle="1">
    <w:name w:val="List Table 2 - Accent 6"/>
    <w:uiPriority w:val="99"/>
    <w:qFormat/>
    <w:tblPr/>
  </w:style>
  <w:style w:type="table" w:styleId="887" w:customStyle="1">
    <w:name w:val="List Table 3 - Accent 1"/>
    <w:uiPriority w:val="99"/>
    <w:qFormat/>
    <w:tblPr/>
  </w:style>
  <w:style w:type="table" w:styleId="888" w:customStyle="1">
    <w:name w:val="List Table 3 - Accent 2"/>
    <w:uiPriority w:val="99"/>
    <w:qFormat/>
    <w:tblPr/>
  </w:style>
  <w:style w:type="table" w:styleId="889" w:customStyle="1">
    <w:name w:val="List Table 3 - Accent 3"/>
    <w:uiPriority w:val="99"/>
    <w:qFormat/>
    <w:tblPr/>
  </w:style>
  <w:style w:type="table" w:styleId="890" w:customStyle="1">
    <w:name w:val="List Table 3 - Accent 4"/>
    <w:uiPriority w:val="99"/>
    <w:qFormat/>
    <w:tblPr/>
  </w:style>
  <w:style w:type="table" w:styleId="891" w:customStyle="1">
    <w:name w:val="List Table 3 - Accent 5"/>
    <w:uiPriority w:val="99"/>
    <w:qFormat/>
    <w:tblPr/>
  </w:style>
  <w:style w:type="table" w:styleId="892" w:customStyle="1">
    <w:name w:val="List Table 3 - Accent 6"/>
    <w:uiPriority w:val="99"/>
    <w:qFormat/>
    <w:tblPr/>
  </w:style>
  <w:style w:type="table" w:styleId="893" w:customStyle="1">
    <w:name w:val="List Table 4 - Accent 1"/>
    <w:uiPriority w:val="99"/>
    <w:qFormat/>
    <w:tblPr/>
  </w:style>
  <w:style w:type="table" w:styleId="894" w:customStyle="1">
    <w:name w:val="List Table 4 - Accent 2"/>
    <w:uiPriority w:val="99"/>
    <w:qFormat/>
    <w:tblPr/>
  </w:style>
  <w:style w:type="table" w:styleId="895" w:customStyle="1">
    <w:name w:val="List Table 4 - Accent 3"/>
    <w:uiPriority w:val="99"/>
    <w:qFormat/>
    <w:tblPr/>
  </w:style>
  <w:style w:type="table" w:styleId="896" w:customStyle="1">
    <w:name w:val="List Table 4 - Accent 4"/>
    <w:uiPriority w:val="99"/>
    <w:qFormat/>
    <w:tblPr/>
  </w:style>
  <w:style w:type="table" w:styleId="897" w:customStyle="1">
    <w:name w:val="List Table 4 - Accent 5"/>
    <w:uiPriority w:val="99"/>
    <w:qFormat/>
    <w:tblPr/>
  </w:style>
  <w:style w:type="table" w:styleId="898" w:customStyle="1">
    <w:name w:val="List Table 4 - Accent 6"/>
    <w:uiPriority w:val="99"/>
    <w:qFormat/>
    <w:tblPr/>
  </w:style>
  <w:style w:type="table" w:styleId="899" w:customStyle="1">
    <w:name w:val="List Table 5 Dark - Accent 1"/>
    <w:uiPriority w:val="99"/>
    <w:qFormat/>
    <w:tblPr/>
  </w:style>
  <w:style w:type="table" w:styleId="900" w:customStyle="1">
    <w:name w:val="List Table 5 Dark - Accent 2"/>
    <w:uiPriority w:val="99"/>
    <w:qFormat/>
    <w:tblPr/>
  </w:style>
  <w:style w:type="table" w:styleId="901" w:customStyle="1">
    <w:name w:val="List Table 5 Dark - Accent 3"/>
    <w:uiPriority w:val="99"/>
    <w:qFormat/>
    <w:tblPr/>
  </w:style>
  <w:style w:type="table" w:styleId="902" w:customStyle="1">
    <w:name w:val="List Table 5 Dark - Accent 4"/>
    <w:uiPriority w:val="99"/>
    <w:qFormat/>
    <w:tblPr/>
  </w:style>
  <w:style w:type="table" w:styleId="903" w:customStyle="1">
    <w:name w:val="List Table 5 Dark - Accent 5"/>
    <w:uiPriority w:val="99"/>
    <w:qFormat/>
    <w:tblPr/>
  </w:style>
  <w:style w:type="table" w:styleId="904" w:customStyle="1">
    <w:name w:val="List Table 5 Dark - Accent 6"/>
    <w:uiPriority w:val="99"/>
    <w:qFormat/>
    <w:tblPr/>
  </w:style>
  <w:style w:type="table" w:styleId="905" w:customStyle="1">
    <w:name w:val="List Table 6 Colorful - Accent 1"/>
    <w:uiPriority w:val="99"/>
    <w:qFormat/>
    <w:tblPr/>
  </w:style>
  <w:style w:type="table" w:styleId="906" w:customStyle="1">
    <w:name w:val="List Table 6 Colorful - Accent 2"/>
    <w:uiPriority w:val="99"/>
    <w:qFormat/>
    <w:tblPr/>
  </w:style>
  <w:style w:type="table" w:styleId="907" w:customStyle="1">
    <w:name w:val="List Table 6 Colorful - Accent 3"/>
    <w:uiPriority w:val="99"/>
    <w:qFormat/>
    <w:tblPr/>
  </w:style>
  <w:style w:type="table" w:styleId="908" w:customStyle="1">
    <w:name w:val="List Table 6 Colorful - Accent 4"/>
    <w:uiPriority w:val="99"/>
    <w:qFormat/>
    <w:tblPr/>
  </w:style>
  <w:style w:type="table" w:styleId="909" w:customStyle="1">
    <w:name w:val="List Table 6 Colorful - Accent 5"/>
    <w:uiPriority w:val="99"/>
    <w:qFormat/>
    <w:tblPr/>
  </w:style>
  <w:style w:type="table" w:styleId="910" w:customStyle="1">
    <w:name w:val="List Table 6 Colorful - Accent 6"/>
    <w:uiPriority w:val="99"/>
    <w:qFormat/>
    <w:tblPr/>
  </w:style>
  <w:style w:type="table" w:styleId="911" w:customStyle="1">
    <w:name w:val="List Table 7 Colorful - Accent 1"/>
    <w:uiPriority w:val="99"/>
    <w:qFormat/>
    <w:tblPr/>
  </w:style>
  <w:style w:type="table" w:styleId="912" w:customStyle="1">
    <w:name w:val="List Table 7 Colorful - Accent 2"/>
    <w:uiPriority w:val="99"/>
    <w:qFormat/>
    <w:tblPr/>
  </w:style>
  <w:style w:type="table" w:styleId="913" w:customStyle="1">
    <w:name w:val="List Table 7 Colorful - Accent 3"/>
    <w:uiPriority w:val="99"/>
    <w:qFormat/>
    <w:tblPr/>
  </w:style>
  <w:style w:type="table" w:styleId="914" w:customStyle="1">
    <w:name w:val="List Table 7 Colorful - Accent 4"/>
    <w:uiPriority w:val="99"/>
    <w:qFormat/>
    <w:tblPr/>
  </w:style>
  <w:style w:type="table" w:styleId="915" w:customStyle="1">
    <w:name w:val="List Table 7 Colorful - Accent 5"/>
    <w:uiPriority w:val="99"/>
    <w:qFormat/>
    <w:tblPr/>
  </w:style>
  <w:style w:type="table" w:styleId="916" w:customStyle="1">
    <w:name w:val="List Table 7 Colorful - Accent 6"/>
    <w:uiPriority w:val="99"/>
    <w:qFormat/>
    <w:tblPr/>
  </w:style>
  <w:style w:type="table" w:styleId="917" w:customStyle="1">
    <w:name w:val="Lined - Accent"/>
    <w:uiPriority w:val="99"/>
    <w:qFormat/>
    <w:rPr>
      <w:color w:val="404040"/>
    </w:rPr>
    <w:tblPr/>
  </w:style>
  <w:style w:type="table" w:styleId="918" w:customStyle="1">
    <w:name w:val="Lined - Accent 1"/>
    <w:uiPriority w:val="99"/>
    <w:qFormat/>
    <w:rPr>
      <w:color w:val="404040"/>
    </w:rPr>
    <w:tblPr/>
  </w:style>
  <w:style w:type="table" w:styleId="919" w:customStyle="1">
    <w:name w:val="Lined - Accent 2"/>
    <w:uiPriority w:val="99"/>
    <w:qFormat/>
    <w:rPr>
      <w:color w:val="404040"/>
    </w:rPr>
    <w:tblPr/>
  </w:style>
  <w:style w:type="table" w:styleId="920" w:customStyle="1">
    <w:name w:val="Lined - Accent 3"/>
    <w:uiPriority w:val="99"/>
    <w:qFormat/>
    <w:rPr>
      <w:color w:val="404040"/>
    </w:rPr>
    <w:tblPr/>
  </w:style>
  <w:style w:type="table" w:styleId="921" w:customStyle="1">
    <w:name w:val="Lined - Accent 4"/>
    <w:uiPriority w:val="99"/>
    <w:qFormat/>
    <w:rPr>
      <w:color w:val="404040"/>
    </w:rPr>
    <w:tblPr/>
  </w:style>
  <w:style w:type="table" w:styleId="922" w:customStyle="1">
    <w:name w:val="Lined - Accent 5"/>
    <w:uiPriority w:val="99"/>
    <w:qFormat/>
    <w:rPr>
      <w:color w:val="404040"/>
    </w:rPr>
    <w:tblPr/>
  </w:style>
  <w:style w:type="table" w:styleId="923" w:customStyle="1">
    <w:name w:val="Lined - Accent 6"/>
    <w:uiPriority w:val="99"/>
    <w:qFormat/>
    <w:rPr>
      <w:color w:val="404040"/>
    </w:rPr>
    <w:tblPr/>
  </w:style>
  <w:style w:type="table" w:styleId="924" w:customStyle="1">
    <w:name w:val="Bordered &amp; Lined - Accent"/>
    <w:uiPriority w:val="99"/>
    <w:qFormat/>
    <w:rPr>
      <w:color w:val="404040"/>
    </w:rPr>
    <w:tblPr/>
  </w:style>
  <w:style w:type="table" w:styleId="925" w:customStyle="1">
    <w:name w:val="Bordered &amp; Lined - Accent 1"/>
    <w:uiPriority w:val="99"/>
    <w:qFormat/>
    <w:rPr>
      <w:color w:val="404040"/>
    </w:rPr>
    <w:tblPr/>
  </w:style>
  <w:style w:type="table" w:styleId="926" w:customStyle="1">
    <w:name w:val="Bordered &amp; Lined - Accent 2"/>
    <w:uiPriority w:val="99"/>
    <w:qFormat/>
    <w:rPr>
      <w:color w:val="404040"/>
    </w:rPr>
    <w:tblPr/>
  </w:style>
  <w:style w:type="table" w:styleId="927" w:customStyle="1">
    <w:name w:val="Bordered &amp; Lined - Accent 3"/>
    <w:uiPriority w:val="99"/>
    <w:qFormat/>
    <w:rPr>
      <w:color w:val="404040"/>
    </w:rPr>
    <w:tblPr/>
  </w:style>
  <w:style w:type="table" w:styleId="928" w:customStyle="1">
    <w:name w:val="Bordered &amp; Lined - Accent 4"/>
    <w:uiPriority w:val="99"/>
    <w:qFormat/>
    <w:rPr>
      <w:color w:val="404040"/>
    </w:rPr>
    <w:tblPr/>
  </w:style>
  <w:style w:type="table" w:styleId="929" w:customStyle="1">
    <w:name w:val="Bordered &amp; Lined - Accent 5"/>
    <w:uiPriority w:val="99"/>
    <w:qFormat/>
    <w:rPr>
      <w:color w:val="404040"/>
    </w:rPr>
    <w:tblPr/>
  </w:style>
  <w:style w:type="table" w:styleId="930" w:customStyle="1">
    <w:name w:val="Bordered &amp; Lined - Accent 6"/>
    <w:uiPriority w:val="99"/>
    <w:qFormat/>
    <w:rPr>
      <w:color w:val="404040"/>
    </w:rPr>
    <w:tblPr/>
  </w:style>
  <w:style w:type="table" w:styleId="931" w:customStyle="1">
    <w:name w:val="Bordered"/>
    <w:uiPriority w:val="99"/>
    <w:qFormat/>
    <w:tblPr/>
  </w:style>
  <w:style w:type="table" w:styleId="932" w:customStyle="1">
    <w:name w:val="Bordered - Accent 1"/>
    <w:uiPriority w:val="99"/>
    <w:qFormat/>
    <w:tblPr/>
  </w:style>
  <w:style w:type="table" w:styleId="933" w:customStyle="1">
    <w:name w:val="Bordered - Accent 2"/>
    <w:uiPriority w:val="99"/>
    <w:qFormat/>
    <w:tblPr/>
  </w:style>
  <w:style w:type="table" w:styleId="934" w:customStyle="1">
    <w:name w:val="Bordered - Accent 3"/>
    <w:uiPriority w:val="99"/>
    <w:qFormat/>
    <w:tblPr/>
  </w:style>
  <w:style w:type="table" w:styleId="935" w:customStyle="1">
    <w:name w:val="Bordered - Accent 4"/>
    <w:uiPriority w:val="99"/>
    <w:qFormat/>
    <w:tblPr/>
  </w:style>
  <w:style w:type="table" w:styleId="936" w:customStyle="1">
    <w:name w:val="Bordered - Accent 5"/>
    <w:uiPriority w:val="99"/>
    <w:qFormat/>
    <w:tblPr/>
  </w:style>
  <w:style w:type="table" w:styleId="937" w:customStyle="1">
    <w:name w:val="Bordered - Accent 6"/>
    <w:uiPriority w:val="99"/>
    <w:qFormat/>
    <w:tblPr/>
  </w:style>
  <w:style w:type="paragraph" w:styleId="938" w:customStyle="1">
    <w:name w:val="TOC 标题11"/>
    <w:uiPriority w:val="39"/>
    <w:unhideWhenUsed/>
    <w:qFormat/>
    <w:rPr>
      <w:rFonts w:hint="default" w:ascii="Times New Roman" w:hAnsi="Times New Roman" w:eastAsia="宋体" w:cs="Times New Roman"/>
    </w:rPr>
  </w:style>
  <w:style w:type="paragraph" w:styleId="939" w:customStyle="1">
    <w:name w:val="标题 11"/>
    <w:basedOn w:val="654"/>
    <w:next w:val="654"/>
    <w:uiPriority w:val="0"/>
    <w:qFormat/>
    <w:pPr>
      <w:jc w:val="center"/>
      <w:keepLines/>
      <w:keepNext/>
      <w:spacing w:line="360" w:lineRule="auto"/>
      <w:outlineLvl w:val="0"/>
    </w:pPr>
    <w:rPr>
      <w:rFonts w:eastAsia="黑体"/>
      <w:b/>
      <w:bCs/>
      <w:sz w:val="32"/>
      <w:szCs w:val="44"/>
    </w:rPr>
  </w:style>
  <w:style w:type="paragraph" w:styleId="940" w:customStyle="1">
    <w:name w:val="标题 21"/>
    <w:basedOn w:val="654"/>
    <w:next w:val="654"/>
    <w:uiPriority w:val="9"/>
    <w:qFormat/>
    <w:pPr>
      <w:keepLines/>
      <w:keepNext/>
      <w:spacing w:line="360" w:lineRule="auto"/>
      <w:outlineLvl w:val="1"/>
    </w:pPr>
    <w:rPr>
      <w:rFonts w:ascii="Arial" w:hAnsi="Arial"/>
      <w:b/>
      <w:bCs/>
      <w:sz w:val="24"/>
      <w:szCs w:val="32"/>
    </w:rPr>
  </w:style>
  <w:style w:type="paragraph" w:styleId="941" w:customStyle="1">
    <w:name w:val="标题 31"/>
    <w:basedOn w:val="654"/>
    <w:next w:val="654"/>
    <w:uiPriority w:val="0"/>
    <w:qFormat/>
    <w:pPr>
      <w:keepLines/>
      <w:keepNext/>
      <w:spacing w:line="360" w:lineRule="auto"/>
      <w:outlineLvl w:val="2"/>
    </w:pPr>
    <w:rPr>
      <w:b/>
      <w:bCs/>
      <w:szCs w:val="32"/>
    </w:rPr>
  </w:style>
  <w:style w:type="paragraph" w:styleId="942" w:customStyle="1">
    <w:name w:val="标题 41"/>
    <w:basedOn w:val="654"/>
    <w:next w:val="654"/>
    <w:uiPriority w:val="9"/>
    <w:qFormat/>
    <w:pPr>
      <w:keepLines/>
      <w:keepNext/>
      <w:spacing w:before="280" w:after="290" w:line="376" w:lineRule="auto"/>
      <w:outlineLvl w:val="3"/>
    </w:pPr>
    <w:rPr>
      <w:rFonts w:ascii="Cambria" w:hAnsi="Cambria"/>
      <w:b/>
      <w:bCs/>
      <w:sz w:val="28"/>
      <w:szCs w:val="28"/>
    </w:rPr>
  </w:style>
  <w:style w:type="character" w:styleId="943" w:customStyle="1">
    <w:name w:val="默认段落字体1"/>
    <w:link w:val="654"/>
    <w:uiPriority w:val="1"/>
    <w:unhideWhenUsed/>
    <w:qFormat/>
  </w:style>
  <w:style w:type="table" w:styleId="944" w:customStyle="1">
    <w:name w:val="普通表格1"/>
    <w:uiPriority w:val="99"/>
    <w:unhideWhenUsed/>
    <w:qFormat/>
    <w:tblPr/>
  </w:style>
  <w:style w:type="paragraph" w:styleId="945" w:customStyle="1">
    <w:name w:val="正文缩进11"/>
    <w:basedOn w:val="654"/>
    <w:link w:val="946"/>
    <w:uiPriority w:val="99"/>
    <w:unhideWhenUsed/>
    <w:qFormat/>
    <w:pPr>
      <w:ind w:firstLine="420"/>
      <w:jc w:val="left"/>
    </w:pPr>
    <w:rPr>
      <w:rFonts w:eastAsia="楷体_GB2312"/>
      <w:sz w:val="24"/>
      <w:szCs w:val="20"/>
    </w:rPr>
  </w:style>
  <w:style w:type="character" w:styleId="946" w:customStyle="1">
    <w:name w:val="正文缩进 字符"/>
    <w:link w:val="945"/>
    <w:uiPriority w:val="0"/>
    <w:qFormat/>
    <w:rPr>
      <w:rFonts w:ascii="Times New Roman" w:hAnsi="Times New Roman" w:eastAsia="楷体_GB2312" w:cs="Times New Roman"/>
      <w:sz w:val="24"/>
      <w:szCs w:val="20"/>
    </w:rPr>
  </w:style>
  <w:style w:type="paragraph" w:styleId="947" w:customStyle="1">
    <w:name w:val="批注文字1"/>
    <w:basedOn w:val="654"/>
    <w:link w:val="948"/>
    <w:uiPriority w:val="99"/>
    <w:unhideWhenUsed/>
    <w:qFormat/>
    <w:pPr>
      <w:jc w:val="left"/>
    </w:pPr>
  </w:style>
  <w:style w:type="character" w:styleId="948" w:customStyle="1">
    <w:name w:val="批注文字 字符"/>
    <w:link w:val="947"/>
    <w:uiPriority w:val="99"/>
    <w:qFormat/>
    <w:rPr>
      <w:sz w:val="21"/>
      <w:szCs w:val="22"/>
    </w:rPr>
  </w:style>
  <w:style w:type="paragraph" w:styleId="949" w:customStyle="1">
    <w:name w:val="正文文本1"/>
    <w:basedOn w:val="654"/>
    <w:next w:val="787"/>
    <w:link w:val="950"/>
    <w:uiPriority w:val="99"/>
    <w:unhideWhenUsed/>
    <w:qFormat/>
    <w:pPr>
      <w:spacing w:after="120"/>
    </w:pPr>
    <w:rPr>
      <w:szCs w:val="24"/>
    </w:rPr>
  </w:style>
  <w:style w:type="character" w:styleId="950" w:customStyle="1">
    <w:name w:val="正文文本 字符"/>
    <w:link w:val="949"/>
    <w:uiPriority w:val="99"/>
    <w:qFormat/>
    <w:rPr>
      <w:rFonts w:ascii="Times New Roman" w:hAnsi="Times New Roman" w:eastAsia="宋体" w:cs="Times New Roman"/>
      <w:szCs w:val="24"/>
    </w:rPr>
  </w:style>
  <w:style w:type="paragraph" w:styleId="951" w:customStyle="1">
    <w:name w:val="正文文本缩进11"/>
    <w:basedOn w:val="654"/>
    <w:next w:val="952"/>
    <w:uiPriority w:val="99"/>
    <w:unhideWhenUsed/>
    <w:qFormat/>
    <w:pPr>
      <w:ind w:left="420"/>
      <w:spacing w:after="120"/>
    </w:pPr>
    <w:rPr>
      <w:szCs w:val="24"/>
    </w:rPr>
  </w:style>
  <w:style w:type="paragraph" w:styleId="952" w:customStyle="1">
    <w:name w:val="寄信人地址11"/>
    <w:basedOn w:val="654"/>
    <w:uiPriority w:val="0"/>
    <w:qFormat/>
    <w:rPr>
      <w:sz w:val="26"/>
      <w:szCs w:val="24"/>
    </w:rPr>
  </w:style>
  <w:style w:type="paragraph" w:styleId="953" w:customStyle="1">
    <w:name w:val="文本块1"/>
    <w:basedOn w:val="654"/>
    <w:uiPriority w:val="99"/>
    <w:unhideWhenUsed/>
    <w:qFormat/>
    <w:pPr>
      <w:ind w:left="630" w:right="-609" w:firstLine="420"/>
      <w:spacing w:line="360" w:lineRule="auto"/>
    </w:pPr>
    <w:rPr>
      <w:rFonts w:hint="eastAsia" w:ascii="仿宋_GB2312" w:eastAsia="仿宋_GB2312"/>
      <w:szCs w:val="20"/>
    </w:rPr>
  </w:style>
  <w:style w:type="paragraph" w:styleId="954" w:customStyle="1">
    <w:name w:val="日期1"/>
    <w:basedOn w:val="654"/>
    <w:next w:val="654"/>
    <w:uiPriority w:val="0"/>
    <w:qFormat/>
    <w:pPr>
      <w:ind w:left="100"/>
    </w:pPr>
  </w:style>
  <w:style w:type="paragraph" w:styleId="955" w:customStyle="1">
    <w:name w:val="页脚1"/>
    <w:basedOn w:val="654"/>
    <w:uiPriority w:val="99"/>
    <w:unhideWhenUsed/>
    <w:qFormat/>
    <w:pPr>
      <w:jc w:val="left"/>
      <w:tabs>
        <w:tab w:val="center" w:pos="4153" w:leader="none"/>
        <w:tab w:val="right" w:pos="8306" w:leader="none"/>
      </w:tabs>
    </w:pPr>
    <w:rPr>
      <w:sz w:val="18"/>
      <w:szCs w:val="18"/>
    </w:rPr>
  </w:style>
  <w:style w:type="paragraph" w:styleId="956" w:customStyle="1">
    <w:name w:val="页眉1"/>
    <w:basedOn w:val="654"/>
    <w:uiPriority w:val="99"/>
    <w:unhideWhenUsed/>
    <w:qFormat/>
    <w:pPr>
      <w:tabs>
        <w:tab w:val="center" w:pos="4153" w:leader="none"/>
        <w:tab w:val="right" w:pos="8306" w:leader="none"/>
      </w:tabs>
      <w:pBdr>
        <w:top w:val="none" w:color="000000" w:sz="0" w:space="0"/>
        <w:left w:val="none" w:color="000000" w:sz="0" w:space="0"/>
        <w:bottom w:val="none" w:color="000000" w:sz="0" w:space="0"/>
        <w:right w:val="none" w:color="000000" w:sz="0" w:space="0"/>
      </w:pBdr>
    </w:pPr>
    <w:rPr>
      <w:sz w:val="18"/>
    </w:rPr>
  </w:style>
  <w:style w:type="paragraph" w:styleId="957" w:customStyle="1">
    <w:name w:val="正文文本缩进 31"/>
    <w:basedOn w:val="654"/>
    <w:link w:val="958"/>
    <w:uiPriority w:val="99"/>
    <w:unhideWhenUsed/>
    <w:qFormat/>
    <w:pPr>
      <w:ind w:firstLine="480"/>
      <w:jc w:val="left"/>
      <w:spacing w:line="440" w:lineRule="atLeast"/>
    </w:pPr>
    <w:rPr>
      <w:sz w:val="24"/>
      <w:szCs w:val="24"/>
    </w:rPr>
  </w:style>
  <w:style w:type="character" w:styleId="958" w:customStyle="1">
    <w:name w:val="正文文本缩进 3 字符"/>
    <w:link w:val="957"/>
    <w:uiPriority w:val="0"/>
    <w:qFormat/>
    <w:rPr>
      <w:rFonts w:ascii="Times New Roman" w:hAnsi="Times New Roman" w:eastAsia="宋体" w:cs="Times New Roman"/>
      <w:sz w:val="24"/>
    </w:rPr>
  </w:style>
  <w:style w:type="paragraph" w:styleId="959" w:customStyle="1">
    <w:name w:val="目录 21"/>
    <w:basedOn w:val="654"/>
    <w:next w:val="654"/>
    <w:uiPriority w:val="39"/>
    <w:qFormat/>
    <w:pPr>
      <w:ind w:left="200"/>
      <w:spacing w:line="360" w:lineRule="auto"/>
    </w:pPr>
  </w:style>
  <w:style w:type="paragraph" w:styleId="960" w:customStyle="1">
    <w:name w:val="普通(网站)1"/>
    <w:basedOn w:val="654"/>
    <w:next w:val="654"/>
    <w:uiPriority w:val="99"/>
    <w:qFormat/>
    <w:pPr>
      <w:jc w:val="center"/>
      <w:spacing w:before="75" w:after="75"/>
    </w:pPr>
    <w:rPr>
      <w:sz w:val="24"/>
      <w:szCs w:val="24"/>
    </w:rPr>
  </w:style>
  <w:style w:type="paragraph" w:styleId="961" w:customStyle="1">
    <w:name w:val="批注主题1"/>
    <w:basedOn w:val="947"/>
    <w:next w:val="947"/>
    <w:link w:val="962"/>
    <w:uiPriority w:val="99"/>
    <w:unhideWhenUsed/>
    <w:qFormat/>
    <w:rPr>
      <w:b/>
      <w:bCs/>
    </w:rPr>
  </w:style>
  <w:style w:type="character" w:styleId="962" w:customStyle="1">
    <w:name w:val="批注主题 字符"/>
    <w:link w:val="961"/>
    <w:uiPriority w:val="99"/>
    <w:semiHidden/>
    <w:qFormat/>
    <w:rPr>
      <w:b/>
      <w:bCs/>
      <w:sz w:val="21"/>
      <w:szCs w:val="22"/>
    </w:rPr>
  </w:style>
  <w:style w:type="paragraph" w:styleId="963" w:customStyle="1">
    <w:name w:val="正文首行缩进11"/>
    <w:basedOn w:val="949"/>
    <w:uiPriority w:val="0"/>
    <w:qFormat/>
    <w:pPr>
      <w:ind w:firstLine="420"/>
    </w:pPr>
    <w:rPr>
      <w:sz w:val="26"/>
    </w:rPr>
  </w:style>
  <w:style w:type="character" w:styleId="964" w:customStyle="1">
    <w:name w:val="要点1"/>
    <w:link w:val="654"/>
    <w:uiPriority w:val="0"/>
    <w:qFormat/>
    <w:rPr>
      <w:rFonts w:ascii="Times New Roman" w:hAnsi="Times New Roman" w:eastAsia="宋体" w:cs="Times New Roman"/>
      <w:b/>
      <w:bCs/>
    </w:rPr>
  </w:style>
  <w:style w:type="character" w:styleId="965" w:customStyle="1">
    <w:name w:val="页码1"/>
    <w:link w:val="654"/>
    <w:uiPriority w:val="99"/>
    <w:unhideWhenUsed/>
    <w:qFormat/>
    <w:rPr>
      <w:rFonts w:ascii="Tahoma" w:hAnsi="Tahoma" w:eastAsia="宋体" w:cs="Times New Roman"/>
      <w:sz w:val="24"/>
      <w:szCs w:val="24"/>
      <w:lang w:val="en-US" w:eastAsia="zh-CN" w:bidi="ar-SA"/>
    </w:rPr>
  </w:style>
  <w:style w:type="character" w:styleId="966" w:customStyle="1">
    <w:name w:val="已访问的超链接1"/>
    <w:link w:val="654"/>
    <w:uiPriority w:val="99"/>
    <w:unhideWhenUsed/>
    <w:qFormat/>
    <w:rPr>
      <w:color w:val="333333"/>
      <w:u w:val="none"/>
    </w:rPr>
  </w:style>
  <w:style w:type="character" w:styleId="967" w:customStyle="1">
    <w:name w:val="强调1"/>
    <w:link w:val="654"/>
    <w:uiPriority w:val="20"/>
    <w:qFormat/>
  </w:style>
  <w:style w:type="character" w:styleId="968" w:customStyle="1">
    <w:name w:val="超链接1"/>
    <w:link w:val="654"/>
    <w:uiPriority w:val="99"/>
    <w:unhideWhenUsed/>
    <w:qFormat/>
    <w:rPr>
      <w:rFonts w:ascii="Times New Roman" w:hAnsi="Times New Roman" w:eastAsia="宋体" w:cs="Times New Roman"/>
      <w:color w:val="0066cc"/>
      <w:sz w:val="21"/>
      <w:szCs w:val="21"/>
      <w:u w:val="none"/>
    </w:rPr>
  </w:style>
  <w:style w:type="character" w:styleId="969" w:customStyle="1">
    <w:name w:val="批注引用1"/>
    <w:link w:val="654"/>
    <w:uiPriority w:val="99"/>
    <w:unhideWhenUsed/>
    <w:qFormat/>
    <w:rPr>
      <w:sz w:val="21"/>
      <w:szCs w:val="21"/>
    </w:rPr>
  </w:style>
  <w:style w:type="paragraph" w:styleId="970" w:customStyle="1">
    <w:name w:val="寄信人地址1"/>
    <w:uiPriority w:val="0"/>
    <w:qFormat/>
    <w:pPr>
      <w:jc w:val="both"/>
      <w:widowControl w:val="off"/>
    </w:pPr>
    <w:rPr>
      <w:rFonts w:hint="default" w:ascii="Arial" w:hAnsi="Arial" w:eastAsia="楷体_GB2312" w:cs="Times New Roman"/>
      <w:sz w:val="26"/>
    </w:rPr>
  </w:style>
  <w:style w:type="character" w:styleId="971" w:customStyle="1">
    <w:name w:val="NormalCharacter1"/>
    <w:link w:val="654"/>
    <w:uiPriority w:val="0"/>
    <w:qFormat/>
    <w:rPr>
      <w:rFonts w:ascii="Calibri" w:hAnsi="Calibri" w:eastAsia="宋体" w:cs="Times New Roman"/>
      <w:sz w:val="21"/>
      <w:szCs w:val="22"/>
      <w:lang w:val="en-US" w:eastAsia="zh-CN" w:bidi="ar-SA"/>
    </w:rPr>
  </w:style>
  <w:style w:type="paragraph" w:styleId="972" w:customStyle="1">
    <w:name w:val="首行缩进"/>
    <w:basedOn w:val="654"/>
    <w:uiPriority w:val="0"/>
    <w:qFormat/>
    <w:pPr>
      <w:ind w:firstLine="480"/>
    </w:pPr>
    <w:rPr>
      <w:szCs w:val="20"/>
      <w:lang w:val="zh-CN"/>
    </w:rPr>
  </w:style>
  <w:style w:type="paragraph" w:styleId="973" w:customStyle="1">
    <w:name w:val="纯文本2"/>
    <w:basedOn w:val="654"/>
    <w:uiPriority w:val="0"/>
    <w:qFormat/>
    <w:rPr>
      <w:rFonts w:ascii="宋体" w:hAnsi="Courier New"/>
      <w:szCs w:val="24"/>
    </w:rPr>
  </w:style>
  <w:style w:type="character" w:styleId="974" w:customStyle="1">
    <w:name w:val="正文文本 Char"/>
    <w:link w:val="654"/>
    <w:uiPriority w:val="99"/>
    <w:semiHidden/>
    <w:qFormat/>
    <w:rPr>
      <w:rFonts w:ascii="Calibri" w:hAnsi="Calibri" w:eastAsia="宋体" w:cs="Times New Roman"/>
      <w:szCs w:val="24"/>
    </w:rPr>
  </w:style>
  <w:style w:type="paragraph" w:styleId="975" w:customStyle="1">
    <w:name w:val="纯文本4"/>
    <w:basedOn w:val="654"/>
    <w:uiPriority w:val="0"/>
    <w:qFormat/>
    <w:rPr>
      <w:rFonts w:ascii="宋体" w:hAnsi="Courier New" w:eastAsia="楷体_GB2312"/>
      <w:sz w:val="26"/>
      <w:szCs w:val="20"/>
    </w:rPr>
  </w:style>
  <w:style w:type="character" w:styleId="976" w:customStyle="1">
    <w:name w:val="first-child"/>
    <w:link w:val="654"/>
    <w:uiPriority w:val="0"/>
    <w:qFormat/>
    <w:rPr>
      <w:rFonts w:ascii="Times New Roman" w:hAnsi="Times New Roman" w:eastAsia="宋体" w:cs="Times New Roman"/>
    </w:rPr>
  </w:style>
  <w:style w:type="character" w:styleId="977" w:customStyle="1">
    <w:name w:val="layui-this"/>
    <w:link w:val="654"/>
    <w:uiPriority w:val="0"/>
    <w:qFormat/>
    <w:rPr>
      <w:rFonts w:ascii="Times New Roman" w:hAnsi="Times New Roman" w:eastAsia="宋体" w:cs="Times New Roman"/>
      <w:shd w:val="clear" w:color="auto" w:fill="ffffff"/>
    </w:rPr>
  </w:style>
  <w:style w:type="character" w:styleId="978" w:customStyle="1">
    <w:name w:val="l-btn-left"/>
    <w:link w:val="654"/>
    <w:uiPriority w:val="0"/>
    <w:qFormat/>
    <w:rPr>
      <w:rFonts w:ascii="Times New Roman" w:hAnsi="Times New Roman" w:eastAsia="宋体" w:cs="Times New Roman"/>
    </w:rPr>
  </w:style>
  <w:style w:type="character" w:styleId="979" w:customStyle="1">
    <w:name w:val="l-btn-text33"/>
    <w:link w:val="654"/>
    <w:uiPriority w:val="0"/>
    <w:qFormat/>
    <w:rPr>
      <w:rFonts w:ascii="Times New Roman" w:hAnsi="Times New Roman" w:eastAsia="宋体" w:cs="Times New Roman"/>
    </w:rPr>
  </w:style>
  <w:style w:type="character" w:styleId="980" w:customStyle="1">
    <w:name w:val="l-btn-text35"/>
    <w:link w:val="654"/>
    <w:uiPriority w:val="0"/>
    <w:qFormat/>
    <w:rPr>
      <w:rFonts w:ascii="Times New Roman" w:hAnsi="Times New Roman" w:eastAsia="宋体" w:cs="Times New Roman"/>
    </w:rPr>
  </w:style>
  <w:style w:type="character" w:styleId="981" w:customStyle="1">
    <w:name w:val="正文文本缩进 3 Char"/>
    <w:link w:val="654"/>
    <w:uiPriority w:val="99"/>
    <w:semiHidden/>
    <w:qFormat/>
    <w:rPr>
      <w:rFonts w:ascii="Times New Roman" w:hAnsi="Times New Roman" w:eastAsia="宋体" w:cs="Times New Roman"/>
      <w:sz w:val="16"/>
      <w:szCs w:val="16"/>
    </w:rPr>
  </w:style>
  <w:style w:type="character" w:styleId="982" w:customStyle="1">
    <w:name w:val="l-btn-text36"/>
    <w:link w:val="654"/>
    <w:uiPriority w:val="0"/>
    <w:qFormat/>
    <w:rPr>
      <w:rFonts w:ascii="Times New Roman" w:hAnsi="Times New Roman" w:eastAsia="宋体" w:cs="Times New Roman"/>
    </w:rPr>
  </w:style>
  <w:style w:type="character" w:styleId="983" w:customStyle="1">
    <w:name w:val="l-btn-text"/>
    <w:link w:val="654"/>
    <w:uiPriority w:val="0"/>
    <w:qFormat/>
    <w:rPr>
      <w:rFonts w:ascii="Times New Roman" w:hAnsi="Times New Roman" w:eastAsia="宋体" w:cs="Times New Roman"/>
    </w:rPr>
  </w:style>
  <w:style w:type="paragraph" w:styleId="984" w:customStyle="1">
    <w:name w:val="正文_0"/>
    <w:uiPriority w:val="0"/>
    <w:qFormat/>
    <w:pPr>
      <w:jc w:val="both"/>
      <w:widowControl w:val="off"/>
    </w:pPr>
    <w:rPr>
      <w:rFonts w:hint="default" w:ascii="Times New Roman" w:hAnsi="Times New Roman" w:eastAsia="宋体" w:cs="Times New Roman"/>
      <w:sz w:val="21"/>
      <w:szCs w:val="22"/>
    </w:rPr>
  </w:style>
  <w:style w:type="paragraph" w:styleId="985" w:customStyle="1">
    <w:name w:val="正文_2"/>
    <w:uiPriority w:val="0"/>
    <w:qFormat/>
    <w:pPr>
      <w:jc w:val="both"/>
      <w:widowControl w:val="off"/>
    </w:pPr>
    <w:rPr>
      <w:rFonts w:hint="default" w:ascii="Times New Roman" w:hAnsi="Times New Roman" w:eastAsia="宋体" w:cs="Times New Roman"/>
      <w:sz w:val="21"/>
      <w:szCs w:val="22"/>
    </w:rPr>
  </w:style>
  <w:style w:type="paragraph" w:styleId="986" w:customStyle="1">
    <w:name w:val="修订1"/>
    <w:uiPriority w:val="99"/>
    <w:unhideWhenUsed/>
    <w:qFormat/>
    <w:rPr>
      <w:rFonts w:hint="default" w:ascii="Times New Roman" w:hAnsi="Times New Roman" w:eastAsia="宋体" w:cs="Times New Roman"/>
      <w:sz w:val="21"/>
      <w:szCs w:val="22"/>
    </w:rPr>
  </w:style>
  <w:style w:type="table" w:styleId="987" w:customStyle="1">
    <w:name w:val="Table Normal_0"/>
    <w:uiPriority w:val="0"/>
    <w:unhideWhenUsed/>
    <w:qFormat/>
    <w:tblPr/>
  </w:style>
  <w:style w:type="table" w:styleId="988" w:customStyle="1">
    <w:name w:val="网格型42"/>
    <w:basedOn w:val="695"/>
    <w:uiPriority w:val="59"/>
    <w:qFormat/>
    <w:rPr>
      <w:rFonts w:ascii="Calibri" w:hAnsi="Calibri"/>
    </w:rPr>
    <w:tblPr/>
  </w:style>
  <w:style w:type="paragraph" w:styleId="989" w:customStyle="1">
    <w:name w:val="修订2"/>
    <w:uiPriority w:val="99"/>
    <w:unhideWhenUsed/>
    <w:qFormat/>
    <w:rPr>
      <w:rFonts w:hint="default" w:ascii="Times New Roman" w:hAnsi="Times New Roman" w:eastAsia="宋体" w:cs="Times New Roman"/>
      <w:sz w:val="21"/>
      <w:szCs w:val="22"/>
    </w:rPr>
  </w:style>
  <w:style w:type="paragraph" w:styleId="990" w:customStyle="1">
    <w:name w:val="修订3"/>
    <w:uiPriority w:val="99"/>
    <w:unhideWhenUsed/>
    <w:qFormat/>
    <w:rPr>
      <w:rFonts w:hint="default" w:ascii="Times New Roman" w:hAnsi="Times New Roman" w:eastAsia="宋体" w:cs="Times New Roman"/>
      <w:sz w:val="21"/>
      <w:szCs w:val="22"/>
    </w:rPr>
  </w:style>
  <w:style w:type="paragraph" w:styleId="991"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rPr>
  </w:style>
  <w:style w:type="character" w:styleId="992" w:customStyle="1">
    <w:name w:val="NormalCharacter11"/>
    <w:link w:val="654"/>
    <w:uiPriority w:val="0"/>
    <w:semiHidden/>
    <w:qFormat/>
  </w:style>
  <w:style w:type="paragraph" w:styleId="993" w:customStyle="1">
    <w:name w:val="UserStyle_62"/>
    <w:basedOn w:val="654"/>
    <w:uiPriority w:val="0"/>
    <w:qFormat/>
    <w:rPr>
      <w:rFonts w:ascii="宋体" w:hAnsi="Courier New"/>
    </w:rPr>
  </w:style>
  <w:style w:type="paragraph" w:styleId="994" w:customStyle="1">
    <w:name w:val="WPSOffice手动目录 1"/>
    <w:uiPriority w:val="0"/>
    <w:qFormat/>
    <w:rPr>
      <w:rFonts w:hint="default" w:ascii="Times New Roman" w:hAnsi="Times New Roman" w:eastAsia="宋体" w:cs="Times New Roman"/>
    </w:rPr>
  </w:style>
  <w:style w:type="paragraph" w:styleId="995" w:customStyle="1">
    <w:name w:val="修订4"/>
    <w:uiPriority w:val="99"/>
    <w:unhideWhenUsed/>
    <w:qFormat/>
    <w:rPr>
      <w:rFonts w:hint="default" w:ascii="Times New Roman" w:hAnsi="Times New Roman" w:eastAsia="宋体" w:cs="Times New Roman"/>
      <w:sz w:val="21"/>
      <w:szCs w:val="22"/>
    </w:rPr>
  </w:style>
  <w:style w:type="paragraph" w:styleId="996" w:customStyle="1">
    <w:name w:val="Table Paragraph"/>
    <w:basedOn w:val="654"/>
    <w:uiPriority w:val="1"/>
    <w:qFormat/>
  </w:style>
  <w:style w:type="character" w:styleId="997" w:customStyle="1">
    <w:name w:val="font01"/>
    <w:link w:val="654"/>
    <w:uiPriority w:val="0"/>
    <w:qFormat/>
    <w:rPr>
      <w:rFonts w:hint="eastAsia" w:ascii="宋体" w:hAnsi="宋体" w:eastAsia="宋体" w:cs="宋体"/>
      <w:color w:val="000000"/>
      <w:sz w:val="24"/>
      <w:szCs w:val="24"/>
      <w:u w:val="none"/>
    </w:rPr>
  </w:style>
  <w:style w:type="paragraph" w:styleId="998" w:customStyle="1">
    <w:name w:val="样式2"/>
    <w:basedOn w:val="654"/>
    <w:uiPriority w:val="0"/>
    <w:qFormat/>
    <w:pPr>
      <w:ind w:firstLine="640"/>
    </w:pPr>
    <w:rPr>
      <w:rFonts w:hint="eastAsia" w:ascii="仿宋_GB2312" w:hAnsi="仿宋_GB2312"/>
    </w:rPr>
  </w:style>
  <w:style w:type="character" w:styleId="999" w:customStyle="1">
    <w:name w:val="NormalCharacter12"/>
    <w:link w:val="654"/>
    <w:uiPriority w:val="0"/>
    <w:qFormat/>
  </w:style>
  <w:style w:type="character" w:styleId="1000" w:customStyle="1">
    <w:name w:val="UserStyle_27"/>
    <w:link w:val="1001"/>
    <w:uiPriority w:val="0"/>
    <w:qFormat/>
    <w:rPr>
      <w:rFonts w:ascii="Calibri" w:hAnsi="Calibri"/>
      <w:sz w:val="24"/>
      <w:szCs w:val="24"/>
    </w:rPr>
  </w:style>
  <w:style w:type="paragraph" w:styleId="1001" w:customStyle="1">
    <w:name w:val="UserStyle_28"/>
    <w:basedOn w:val="654"/>
    <w:link w:val="1000"/>
    <w:uiPriority w:val="0"/>
    <w:qFormat/>
    <w:pPr>
      <w:ind w:firstLine="480"/>
      <w:spacing w:line="360" w:lineRule="auto"/>
      <w:widowControl/>
    </w:pPr>
    <w:rPr>
      <w:rFonts w:ascii="Calibri" w:hAnsi="Calibri"/>
      <w:sz w:val="24"/>
      <w:szCs w:val="24"/>
    </w:rPr>
  </w:style>
  <w:style w:type="character" w:styleId="1002" w:customStyle="1">
    <w:name w:val="UserStyle_12"/>
    <w:link w:val="1003"/>
    <w:uiPriority w:val="0"/>
    <w:qFormat/>
    <w:rPr>
      <w:rFonts w:eastAsia="楷体_GB2312"/>
      <w:sz w:val="24"/>
    </w:rPr>
  </w:style>
  <w:style w:type="paragraph" w:styleId="1003" w:customStyle="1">
    <w:name w:val="NormalIndent1"/>
    <w:basedOn w:val="654"/>
    <w:link w:val="1002"/>
    <w:uiPriority w:val="0"/>
    <w:qFormat/>
    <w:pPr>
      <w:ind w:firstLine="420"/>
      <w:jc w:val="left"/>
      <w:widowControl/>
    </w:pPr>
    <w:rPr>
      <w:rFonts w:eastAsia="楷体_GB2312"/>
      <w:sz w:val="24"/>
      <w:szCs w:val="20"/>
    </w:rPr>
  </w:style>
  <w:style w:type="character" w:styleId="1004" w:customStyle="1">
    <w:name w:val="font21"/>
    <w:basedOn w:val="694"/>
    <w:link w:val="654"/>
    <w:uiPriority w:val="0"/>
    <w:qFormat/>
    <w:rPr>
      <w:rFonts w:hint="eastAsia" w:ascii="宋体" w:hAnsi="宋体" w:eastAsia="宋体" w:cs="宋体"/>
      <w:color w:val="000000"/>
      <w:sz w:val="20"/>
      <w:szCs w:val="20"/>
      <w:u w:val="none"/>
    </w:rPr>
  </w:style>
  <w:style w:type="character" w:styleId="1005" w:customStyle="1">
    <w:name w:val="font31"/>
    <w:basedOn w:val="694"/>
    <w:link w:val="654"/>
    <w:uiPriority w:val="0"/>
    <w:qFormat/>
    <w:rPr>
      <w:rFonts w:ascii="Arial" w:hAnsi="Arial" w:cs="Arial"/>
      <w:color w:val="000000"/>
      <w:sz w:val="20"/>
      <w:szCs w:val="20"/>
      <w:u w:val="none"/>
    </w:rPr>
  </w:style>
  <w:style w:type="paragraph" w:styleId="1006" w:customStyle="1">
    <w:name w:val="纯文本1"/>
    <w:basedOn w:val="654"/>
    <w:uiPriority w:val="99"/>
    <w:qFormat/>
    <w:rPr>
      <w:rFonts w:ascii="宋体" w:hAnsi="Courier New" w:eastAsia="楷体_GB2312"/>
      <w:sz w:val="28"/>
      <w:szCs w:val="20"/>
      <w:lang w:eastAsia="en-US"/>
    </w:rPr>
  </w:style>
  <w:style w:type="paragraph" w:styleId="1007" w:customStyle="1">
    <w:name w:val="纯文本8"/>
    <w:basedOn w:val="654"/>
    <w:uiPriority w:val="0"/>
    <w:qFormat/>
    <w:rPr>
      <w:rFonts w:ascii="宋体" w:hAnsi="Courier New" w:eastAsia="楷体_GB2312"/>
      <w:sz w:val="26"/>
      <w:szCs w:val="20"/>
    </w:rPr>
  </w:style>
  <w:style w:type="character" w:styleId="1008" w:customStyle="1">
    <w:name w:val="font41"/>
    <w:basedOn w:val="694"/>
    <w:link w:val="654"/>
    <w:uiPriority w:val="0"/>
    <w:qFormat/>
    <w:rPr>
      <w:rFonts w:hint="eastAsia" w:ascii="宋体" w:hAnsi="宋体" w:eastAsia="宋体" w:cs="宋体"/>
      <w:color w:val="000000"/>
      <w:sz w:val="20"/>
      <w:szCs w:val="20"/>
      <w:u w:val="none"/>
    </w:rPr>
  </w:style>
  <w:style w:type="character" w:styleId="1009" w:customStyle="1">
    <w:name w:val="font61"/>
    <w:basedOn w:val="694"/>
    <w:link w:val="654"/>
    <w:uiPriority w:val="0"/>
    <w:qFormat/>
    <w:rPr>
      <w:rFonts w:ascii="Arial" w:hAnsi="Arial" w:cs="Arial"/>
      <w:color w:val="000000"/>
      <w:sz w:val="20"/>
      <w:szCs w:val="20"/>
      <w:u w:val="none"/>
    </w:rPr>
  </w:style>
  <w:style w:type="table" w:styleId="1010" w:customStyle="1">
    <w:name w:val="Table Normal_1"/>
    <w:uiPriority w:val="0"/>
    <w:unhideWhenUsed/>
    <w:qFormat/>
    <w:rPr>
      <w:rFonts w:ascii="Arial" w:hAnsi="Arial" w:cs="Arial"/>
    </w:rPr>
    <w:tblPr/>
  </w:style>
  <w:style w:type="character" w:styleId="1011" w:customStyle="1">
    <w:name w:val="font11"/>
    <w:basedOn w:val="694"/>
    <w:link w:val="654"/>
    <w:uiPriority w:val="0"/>
    <w:qFormat/>
    <w:rPr>
      <w:rFonts w:hint="eastAsia" w:ascii="宋体" w:hAnsi="宋体" w:eastAsia="宋体" w:cs="宋体"/>
      <w:b/>
      <w:bCs/>
      <w:color w:val="000000"/>
      <w:sz w:val="21"/>
      <w:szCs w:val="21"/>
      <w:u w:val="none"/>
    </w:rPr>
  </w:style>
  <w:style w:type="paragraph" w:styleId="1012" w:customStyle="1">
    <w:name w:val="纯文本7"/>
    <w:basedOn w:val="654"/>
    <w:uiPriority w:val="0"/>
    <w:qFormat/>
    <w:rPr>
      <w:rFonts w:ascii="宋体" w:hAnsi="Courier New"/>
      <w:sz w:val="24"/>
      <w:szCs w:val="20"/>
      <w:lang w:val="zh-CN"/>
    </w:rPr>
  </w:style>
  <w:style w:type="paragraph" w:styleId="1013" w:customStyle="1">
    <w:name w:val="Plain Text1"/>
    <w:basedOn w:val="654"/>
    <w:uiPriority w:val="0"/>
    <w:qFormat/>
    <w:rPr>
      <w:rFonts w:ascii="宋体" w:hAnsi="Courier New"/>
      <w:sz w:val="24"/>
      <w:szCs w:val="20"/>
    </w:rPr>
  </w:style>
  <w:style w:type="character" w:styleId="1014" w:customStyle="1">
    <w:name w:val="font91"/>
    <w:basedOn w:val="664"/>
    <w:uiPriority w:val="0"/>
    <w:qFormat/>
    <w:rPr>
      <w:rFonts w:ascii="Arial" w:hAnsi="Arial" w:cs="Arial"/>
      <w:b/>
      <w:bCs/>
      <w:color w:val="000000"/>
      <w:sz w:val="21"/>
      <w:szCs w:val="21"/>
      <w:u w:val="none"/>
    </w:rPr>
  </w:style>
  <w:style w:type="character" w:styleId="1015" w:customStyle="1">
    <w:name w:val="font51"/>
    <w:basedOn w:val="664"/>
    <w:uiPriority w:val="0"/>
    <w:qFormat/>
    <w:rPr>
      <w:rFonts w:hint="eastAsia" w:ascii="宋体" w:hAnsi="宋体" w:eastAsia="宋体" w:cs="宋体"/>
      <w:color w:val="000000"/>
      <w:sz w:val="24"/>
      <w:szCs w:val="24"/>
      <w:u w:val="none"/>
    </w:rPr>
  </w:style>
  <w:style w:type="character" w:styleId="1016" w:customStyle="1">
    <w:name w:val="font71"/>
    <w:basedOn w:val="664"/>
    <w:uiPriority w:val="0"/>
    <w:qFormat/>
    <w:rPr>
      <w:rFonts w:hint="eastAsia" w:ascii="宋体" w:hAnsi="宋体" w:eastAsia="宋体" w:cs="宋体"/>
      <w:color w:val="000000"/>
      <w:sz w:val="24"/>
      <w:szCs w:val="24"/>
      <w:u w:val="single"/>
    </w:rPr>
  </w:style>
  <w:style w:type="numbering" w:styleId="151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dc:creator>
  <cp:lastModifiedBy>朱湘云</cp:lastModifiedBy>
  <cp:revision>20</cp:revision>
  <dcterms:created xsi:type="dcterms:W3CDTF">2024-03-13T15:14:00Z</dcterms:created>
  <dcterms:modified xsi:type="dcterms:W3CDTF">2026-06-11T08:07:23Z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AA6662B0133A47CBA51D43B4D52F648B_13</vt:lpwstr>
  </property>
  <property fmtid="{D5CDD505-2E9C-101B-9397-08002B2CF9AE}" pid="4" name="KSOTemplateDocerSaveRecord">
    <vt:lpwstr>eyJoZGlkIjoiMzE4ZDlkOTYwM2M4Y2VlMjVjZWRjYzJkMGUwZDRjMzIiLCJ1c2VySWQiOiIyMzgxMDI5NzUifQ==</vt:lpwstr>
  </property>
</Properties>
</file>